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
          <w:color w:val="000000"/>
          <w:sz w:val="44"/>
          <w:szCs w:val="44"/>
        </w:rPr>
      </w:pPr>
    </w:p>
    <w:p>
      <w:pPr>
        <w:spacing w:line="560" w:lineRule="exact"/>
        <w:jc w:val="center"/>
        <w:rPr>
          <w:rFonts w:ascii="Times New Roman" w:hAnsi="Times New Roman" w:eastAsia="方正小标宋简体" w:cs="Times New Roman"/>
          <w:b/>
          <w:color w:val="000000"/>
          <w:sz w:val="44"/>
          <w:szCs w:val="44"/>
        </w:rPr>
      </w:pPr>
    </w:p>
    <w:p>
      <w:pPr>
        <w:spacing w:line="560" w:lineRule="exact"/>
        <w:jc w:val="center"/>
        <w:rPr>
          <w:rFonts w:ascii="Times New Roman" w:hAnsi="Times New Roman" w:eastAsia="方正小标宋简体" w:cs="Times New Roman"/>
          <w:b/>
          <w:color w:val="000000"/>
          <w:sz w:val="44"/>
          <w:szCs w:val="44"/>
        </w:rPr>
      </w:pPr>
    </w:p>
    <w:p>
      <w:pPr>
        <w:spacing w:line="560" w:lineRule="exact"/>
        <w:jc w:val="center"/>
        <w:rPr>
          <w:rFonts w:ascii="Times New Roman" w:hAnsi="Times New Roman" w:eastAsia="方正小标宋简体" w:cs="Times New Roman"/>
          <w:b/>
          <w:color w:val="000000"/>
          <w:sz w:val="44"/>
          <w:szCs w:val="44"/>
        </w:rPr>
      </w:pPr>
    </w:p>
    <w:p>
      <w:pPr>
        <w:spacing w:line="560" w:lineRule="exact"/>
        <w:jc w:val="center"/>
        <w:rPr>
          <w:rFonts w:ascii="Times New Roman" w:hAnsi="Times New Roman" w:eastAsia="方正小标宋简体" w:cs="Times New Roman"/>
          <w:b/>
          <w:color w:val="000000"/>
          <w:sz w:val="44"/>
          <w:szCs w:val="44"/>
        </w:rPr>
      </w:pPr>
    </w:p>
    <w:p>
      <w:pPr>
        <w:spacing w:line="560" w:lineRule="exact"/>
        <w:jc w:val="center"/>
        <w:rPr>
          <w:rFonts w:ascii="Times New Roman" w:hAnsi="Times New Roman" w:eastAsia="方正小标宋简体" w:cs="Times New Roman"/>
          <w:b/>
          <w:color w:val="000000"/>
          <w:sz w:val="44"/>
          <w:szCs w:val="44"/>
        </w:rPr>
      </w:pPr>
    </w:p>
    <w:p>
      <w:pPr>
        <w:spacing w:line="560" w:lineRule="exact"/>
        <w:jc w:val="center"/>
        <w:rPr>
          <w:rFonts w:ascii="Times New Roman" w:hAnsi="Times New Roman" w:eastAsia="方正小标宋简体" w:cs="Times New Roman"/>
          <w:b/>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2023年咸宁市生态环境监测工作方案</w:t>
      </w:r>
    </w:p>
    <w:p>
      <w:pPr>
        <w:spacing w:line="560" w:lineRule="exact"/>
        <w:jc w:val="center"/>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spacing w:line="560" w:lineRule="exact"/>
        <w:jc w:val="both"/>
        <w:rPr>
          <w:rFonts w:ascii="方正小标宋_GBK" w:eastAsia="方正小标宋_GBK" w:cs="Times New Roman"/>
          <w:color w:val="000000"/>
          <w:sz w:val="44"/>
          <w:szCs w:val="44"/>
        </w:rPr>
      </w:pPr>
    </w:p>
    <w:p>
      <w:pPr>
        <w:spacing w:line="560" w:lineRule="exact"/>
        <w:jc w:val="center"/>
        <w:rPr>
          <w:rFonts w:ascii="方正小标宋_GBK" w:eastAsia="方正小标宋_GBK" w:cs="Times New Roman"/>
          <w:color w:val="000000"/>
          <w:sz w:val="44"/>
          <w:szCs w:val="44"/>
        </w:rPr>
      </w:pPr>
    </w:p>
    <w:p>
      <w:pPr>
        <w:tabs>
          <w:tab w:val="right" w:leader="dot" w:pos="8792"/>
        </w:tabs>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咸宁市生态环境局</w:t>
      </w:r>
    </w:p>
    <w:p>
      <w:pPr>
        <w:tabs>
          <w:tab w:val="right" w:leader="dot" w:pos="8792"/>
        </w:tabs>
        <w:spacing w:line="560" w:lineRule="exact"/>
        <w:jc w:val="center"/>
        <w:rPr>
          <w:rFonts w:ascii="仿宋_GB2312" w:hAnsi="仿宋_GB2312" w:eastAsia="仿宋_GB2312" w:cs="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41" w:right="1588" w:bottom="1588" w:left="1588" w:header="851" w:footer="992" w:gutter="0"/>
          <w:cols w:space="720" w:num="1"/>
          <w:docGrid w:type="lines" w:linePitch="312" w:charSpace="0"/>
        </w:sectPr>
      </w:pP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3年3月</w:t>
      </w:r>
    </w:p>
    <w:p>
      <w:pPr>
        <w:widowControl/>
        <w:spacing w:line="560" w:lineRule="exact"/>
        <w:jc w:val="center"/>
        <w:rPr>
          <w:rFonts w:ascii="Times New Roman" w:hAnsi="Times New Roman" w:eastAsia="黑体" w:cs="Times New Roman"/>
          <w:color w:val="000000"/>
          <w:sz w:val="32"/>
          <w:szCs w:val="30"/>
        </w:rPr>
      </w:pPr>
      <w:r>
        <w:rPr>
          <w:rFonts w:hint="eastAsia" w:ascii="Times New Roman" w:hAnsi="Times New Roman" w:eastAsia="黑体" w:cs="Times New Roman"/>
          <w:color w:val="000000"/>
          <w:sz w:val="32"/>
          <w:szCs w:val="30"/>
        </w:rPr>
        <w:t>目</w:t>
      </w:r>
      <w:r>
        <w:rPr>
          <w:rFonts w:ascii="Times New Roman" w:hAnsi="Times New Roman" w:eastAsia="黑体" w:cs="Times New Roman"/>
          <w:color w:val="000000"/>
          <w:sz w:val="32"/>
          <w:szCs w:val="30"/>
        </w:rPr>
        <w:t xml:space="preserve"> </w:t>
      </w:r>
      <w:r>
        <w:rPr>
          <w:rFonts w:hint="eastAsia" w:ascii="Times New Roman" w:hAnsi="Times New Roman" w:eastAsia="黑体" w:cs="Times New Roman"/>
          <w:color w:val="000000"/>
          <w:sz w:val="32"/>
          <w:szCs w:val="30"/>
        </w:rPr>
        <w:t>录</w:t>
      </w:r>
    </w:p>
    <w:p>
      <w:pPr>
        <w:widowControl/>
        <w:spacing w:line="560" w:lineRule="exact"/>
        <w:jc w:val="center"/>
        <w:rPr>
          <w:rFonts w:ascii="楷体_GB2312" w:eastAsia="楷体_GB2312" w:cs="Times New Roman"/>
          <w:color w:val="000000"/>
          <w:sz w:val="28"/>
          <w:szCs w:val="28"/>
        </w:rPr>
      </w:pPr>
    </w:p>
    <w:p>
      <w:pPr>
        <w:pStyle w:val="16"/>
        <w:tabs>
          <w:tab w:val="right" w:leader="dot" w:pos="8312"/>
          <w:tab w:val="clear" w:pos="8296"/>
        </w:tabs>
      </w:pPr>
      <w:bookmarkStart w:id="0" w:name="_Hlk129854336"/>
      <w:r>
        <w:rPr>
          <w:rFonts w:ascii="楷体_GB2312" w:eastAsia="楷体_GB2312"/>
          <w:color w:val="000000"/>
        </w:rPr>
        <w:fldChar w:fldCharType="begin"/>
      </w:r>
      <w:r>
        <w:rPr>
          <w:rFonts w:ascii="楷体_GB2312" w:eastAsia="楷体_GB2312"/>
          <w:color w:val="000000"/>
        </w:rPr>
        <w:instrText xml:space="preserve"> TOC \o "1-1" \h \z \u </w:instrText>
      </w:r>
      <w:r>
        <w:rPr>
          <w:rFonts w:ascii="楷体_GB2312" w:eastAsia="楷体_GB2312"/>
          <w:color w:val="000000"/>
        </w:rPr>
        <w:fldChar w:fldCharType="separate"/>
      </w:r>
      <w:r>
        <w:rPr>
          <w:rFonts w:ascii="楷体_GB2312" w:eastAsia="楷体_GB2312"/>
          <w:color w:val="000000"/>
        </w:rPr>
        <w:fldChar w:fldCharType="begin"/>
      </w:r>
      <w:r>
        <w:rPr>
          <w:rFonts w:ascii="楷体_GB2312" w:eastAsia="楷体_GB2312"/>
        </w:rPr>
        <w:instrText xml:space="preserve"> HYPERLINK \l _Toc6977 </w:instrText>
      </w:r>
      <w:r>
        <w:rPr>
          <w:rFonts w:ascii="楷体_GB2312" w:eastAsia="楷体_GB2312"/>
        </w:rPr>
        <w:fldChar w:fldCharType="separate"/>
      </w:r>
      <w:r>
        <w:rPr>
          <w:rFonts w:hint="eastAsia" w:ascii="黑体" w:hAnsi="黑体" w:eastAsia="黑体" w:cs="黑体"/>
          <w:bCs/>
          <w:szCs w:val="32"/>
          <w:lang w:val="en-US"/>
        </w:rPr>
        <w:t>一、 空气环境质量监测</w:t>
      </w:r>
      <w:r>
        <w:tab/>
      </w:r>
      <w:r>
        <w:fldChar w:fldCharType="begin"/>
      </w:r>
      <w:r>
        <w:instrText xml:space="preserve"> PAGEREF _Toc6977 </w:instrText>
      </w:r>
      <w:r>
        <w:fldChar w:fldCharType="separate"/>
      </w:r>
      <w:r>
        <w:t>1</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_Toc10385 </w:instrText>
      </w:r>
      <w:r>
        <w:rPr>
          <w:rFonts w:ascii="楷体_GB2312" w:eastAsia="楷体_GB2312"/>
        </w:rPr>
        <w:fldChar w:fldCharType="separate"/>
      </w:r>
      <w:r>
        <w:rPr>
          <w:rFonts w:hint="eastAsia"/>
          <w:szCs w:val="30"/>
        </w:rPr>
        <w:t>（一）城市空气质量监测</w:t>
      </w:r>
      <w:r>
        <w:tab/>
      </w:r>
      <w:r>
        <w:fldChar w:fldCharType="begin"/>
      </w:r>
      <w:r>
        <w:instrText xml:space="preserve"> PAGEREF _Toc10385 </w:instrText>
      </w:r>
      <w:r>
        <w:fldChar w:fldCharType="separate"/>
      </w:r>
      <w:r>
        <w:t>1</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_Toc32282 </w:instrText>
      </w:r>
      <w:r>
        <w:rPr>
          <w:rFonts w:ascii="楷体_GB2312" w:eastAsia="楷体_GB2312"/>
        </w:rPr>
        <w:fldChar w:fldCharType="separate"/>
      </w:r>
      <w:r>
        <w:rPr>
          <w:rFonts w:hint="eastAsia"/>
          <w:szCs w:val="30"/>
        </w:rPr>
        <w:t>（二）酸雨监测</w:t>
      </w:r>
      <w:r>
        <w:tab/>
      </w:r>
      <w:r>
        <w:fldChar w:fldCharType="begin"/>
      </w:r>
      <w:r>
        <w:instrText xml:space="preserve"> PAGEREF _Toc32282 </w:instrText>
      </w:r>
      <w:r>
        <w:fldChar w:fldCharType="separate"/>
      </w:r>
      <w:r>
        <w:t>2</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_Toc20548 </w:instrText>
      </w:r>
      <w:r>
        <w:rPr>
          <w:rFonts w:ascii="楷体_GB2312" w:eastAsia="楷体_GB2312"/>
        </w:rPr>
        <w:fldChar w:fldCharType="separate"/>
      </w:r>
      <w:r>
        <w:rPr>
          <w:rFonts w:hint="eastAsia"/>
          <w:szCs w:val="30"/>
        </w:rPr>
        <w:t>（三）大气颗粒物组分网手工监测</w:t>
      </w:r>
      <w:r>
        <w:tab/>
      </w:r>
      <w:r>
        <w:fldChar w:fldCharType="begin"/>
      </w:r>
      <w:r>
        <w:instrText xml:space="preserve"> PAGEREF _Toc20548 </w:instrText>
      </w:r>
      <w:r>
        <w:fldChar w:fldCharType="separate"/>
      </w:r>
      <w:r>
        <w:t>3</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_Toc16358 </w:instrText>
      </w:r>
      <w:r>
        <w:rPr>
          <w:rFonts w:ascii="楷体_GB2312" w:eastAsia="楷体_GB2312"/>
        </w:rPr>
        <w:fldChar w:fldCharType="separate"/>
      </w:r>
      <w:r>
        <w:rPr>
          <w:rFonts w:hint="eastAsia"/>
          <w:szCs w:val="30"/>
        </w:rPr>
        <w:t>（</w:t>
      </w:r>
      <w:r>
        <w:rPr>
          <w:rFonts w:hint="eastAsia"/>
          <w:szCs w:val="30"/>
          <w:lang w:eastAsia="zh-CN"/>
        </w:rPr>
        <w:t>四</w:t>
      </w:r>
      <w:r>
        <w:rPr>
          <w:rFonts w:hint="eastAsia"/>
          <w:szCs w:val="30"/>
        </w:rPr>
        <w:t>）环境空气挥发性有机物监测</w:t>
      </w:r>
      <w:r>
        <w:tab/>
      </w:r>
      <w:r>
        <w:fldChar w:fldCharType="begin"/>
      </w:r>
      <w:r>
        <w:instrText xml:space="preserve"> PAGEREF _Toc16358 </w:instrText>
      </w:r>
      <w:r>
        <w:fldChar w:fldCharType="separate"/>
      </w:r>
      <w:r>
        <w:t>5</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_Toc25419 </w:instrText>
      </w:r>
      <w:r>
        <w:rPr>
          <w:rFonts w:ascii="楷体_GB2312" w:eastAsia="楷体_GB2312"/>
        </w:rPr>
        <w:fldChar w:fldCharType="separate"/>
      </w:r>
      <w:r>
        <w:rPr>
          <w:rFonts w:hint="eastAsia"/>
          <w:szCs w:val="30"/>
        </w:rPr>
        <w:t>（</w:t>
      </w:r>
      <w:r>
        <w:rPr>
          <w:rFonts w:hint="eastAsia"/>
          <w:szCs w:val="30"/>
          <w:lang w:eastAsia="zh-CN"/>
        </w:rPr>
        <w:t>五</w:t>
      </w:r>
      <w:r>
        <w:rPr>
          <w:rFonts w:hint="eastAsia"/>
          <w:szCs w:val="30"/>
        </w:rPr>
        <w:t>）环境空气质量预报</w:t>
      </w:r>
      <w:r>
        <w:tab/>
      </w:r>
      <w:r>
        <w:fldChar w:fldCharType="begin"/>
      </w:r>
      <w:r>
        <w:instrText xml:space="preserve"> PAGEREF _Toc25419 </w:instrText>
      </w:r>
      <w:r>
        <w:fldChar w:fldCharType="separate"/>
      </w:r>
      <w:r>
        <w:t>6</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_Toc29737 </w:instrText>
      </w:r>
      <w:r>
        <w:rPr>
          <w:rFonts w:ascii="楷体_GB2312" w:eastAsia="楷体_GB2312"/>
        </w:rPr>
        <w:fldChar w:fldCharType="separate"/>
      </w:r>
      <w:r>
        <w:rPr>
          <w:rFonts w:hint="eastAsia" w:ascii="黑体" w:hAnsi="黑体" w:eastAsia="黑体" w:cs="黑体"/>
          <w:bCs/>
          <w:szCs w:val="32"/>
          <w:lang w:val="en-US"/>
        </w:rPr>
        <w:t>二、 水环境质量监测</w:t>
      </w:r>
      <w:r>
        <w:tab/>
      </w:r>
      <w:r>
        <w:fldChar w:fldCharType="begin"/>
      </w:r>
      <w:r>
        <w:instrText xml:space="preserve"> PAGEREF _Toc29737 </w:instrText>
      </w:r>
      <w:r>
        <w:fldChar w:fldCharType="separate"/>
      </w:r>
      <w:r>
        <w:t>7</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_Toc6809 </w:instrText>
      </w:r>
      <w:r>
        <w:rPr>
          <w:rFonts w:ascii="楷体_GB2312" w:eastAsia="楷体_GB2312"/>
        </w:rPr>
        <w:fldChar w:fldCharType="separate"/>
      </w:r>
      <w:r>
        <w:rPr>
          <w:rFonts w:hint="eastAsia"/>
          <w:szCs w:val="30"/>
        </w:rPr>
        <w:t>（</w:t>
      </w:r>
      <w:r>
        <w:rPr>
          <w:rFonts w:hint="eastAsia"/>
          <w:szCs w:val="30"/>
          <w:lang w:eastAsia="zh-CN"/>
        </w:rPr>
        <w:t>六</w:t>
      </w:r>
      <w:r>
        <w:rPr>
          <w:rFonts w:hint="eastAsia"/>
          <w:szCs w:val="30"/>
        </w:rPr>
        <w:t>）地表水水质监测</w:t>
      </w:r>
      <w:r>
        <w:tab/>
      </w:r>
      <w:r>
        <w:fldChar w:fldCharType="begin"/>
      </w:r>
      <w:r>
        <w:instrText xml:space="preserve"> PAGEREF _Toc6809 </w:instrText>
      </w:r>
      <w:r>
        <w:fldChar w:fldCharType="separate"/>
      </w:r>
      <w:r>
        <w:t>7</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_Toc32158 </w:instrText>
      </w:r>
      <w:r>
        <w:rPr>
          <w:rFonts w:ascii="楷体_GB2312" w:eastAsia="楷体_GB2312"/>
        </w:rPr>
        <w:fldChar w:fldCharType="separate"/>
      </w:r>
      <w:r>
        <w:rPr>
          <w:rFonts w:hint="eastAsia"/>
          <w:szCs w:val="30"/>
        </w:rPr>
        <w:t>（</w:t>
      </w:r>
      <w:r>
        <w:rPr>
          <w:rFonts w:hint="eastAsia"/>
          <w:szCs w:val="30"/>
          <w:lang w:eastAsia="zh-CN"/>
        </w:rPr>
        <w:t>七</w:t>
      </w:r>
      <w:r>
        <w:rPr>
          <w:rFonts w:hint="eastAsia"/>
          <w:szCs w:val="30"/>
        </w:rPr>
        <w:t>）地表水水质自动监测</w:t>
      </w:r>
      <w:r>
        <w:tab/>
      </w:r>
      <w:r>
        <w:fldChar w:fldCharType="begin"/>
      </w:r>
      <w:r>
        <w:instrText xml:space="preserve"> PAGEREF _Toc32158 </w:instrText>
      </w:r>
      <w:r>
        <w:fldChar w:fldCharType="separate"/>
      </w:r>
      <w:r>
        <w:t>9</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_Toc27972 </w:instrText>
      </w:r>
      <w:r>
        <w:rPr>
          <w:rFonts w:ascii="楷体_GB2312" w:eastAsia="楷体_GB2312"/>
        </w:rPr>
        <w:fldChar w:fldCharType="separate"/>
      </w:r>
      <w:r>
        <w:rPr>
          <w:rFonts w:hint="eastAsia"/>
          <w:szCs w:val="30"/>
        </w:rPr>
        <w:t>（</w:t>
      </w:r>
      <w:r>
        <w:rPr>
          <w:rFonts w:hint="eastAsia"/>
          <w:szCs w:val="30"/>
          <w:lang w:eastAsia="zh-CN"/>
        </w:rPr>
        <w:t>八</w:t>
      </w:r>
      <w:r>
        <w:rPr>
          <w:rFonts w:hint="eastAsia"/>
          <w:szCs w:val="30"/>
        </w:rPr>
        <w:t>）县级城市集中式饮用水源地水质监测</w:t>
      </w:r>
      <w:r>
        <w:tab/>
      </w:r>
      <w:r>
        <w:fldChar w:fldCharType="begin"/>
      </w:r>
      <w:r>
        <w:instrText xml:space="preserve"> PAGEREF _Toc27972 </w:instrText>
      </w:r>
      <w:r>
        <w:fldChar w:fldCharType="separate"/>
      </w:r>
      <w:r>
        <w:t>10</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_Toc16670 </w:instrText>
      </w:r>
      <w:r>
        <w:rPr>
          <w:rFonts w:ascii="楷体_GB2312" w:eastAsia="楷体_GB2312"/>
        </w:rPr>
        <w:fldChar w:fldCharType="separate"/>
      </w:r>
      <w:r>
        <w:rPr>
          <w:rFonts w:hint="eastAsia"/>
          <w:szCs w:val="30"/>
        </w:rPr>
        <w:t>（</w:t>
      </w:r>
      <w:r>
        <w:rPr>
          <w:rFonts w:hint="eastAsia"/>
          <w:szCs w:val="30"/>
          <w:lang w:eastAsia="zh-CN"/>
        </w:rPr>
        <w:t>九</w:t>
      </w:r>
      <w:r>
        <w:rPr>
          <w:rFonts w:hint="eastAsia"/>
          <w:szCs w:val="30"/>
        </w:rPr>
        <w:t>）农村集中式饮用水源地水质监测</w:t>
      </w:r>
      <w:r>
        <w:tab/>
      </w:r>
      <w:r>
        <w:fldChar w:fldCharType="begin"/>
      </w:r>
      <w:r>
        <w:instrText xml:space="preserve"> PAGEREF _Toc16670 </w:instrText>
      </w:r>
      <w:r>
        <w:fldChar w:fldCharType="separate"/>
      </w:r>
      <w:r>
        <w:t>12</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_Toc22108 </w:instrText>
      </w:r>
      <w:r>
        <w:rPr>
          <w:rFonts w:ascii="楷体_GB2312" w:eastAsia="楷体_GB2312"/>
        </w:rPr>
        <w:fldChar w:fldCharType="separate"/>
      </w:r>
      <w:r>
        <w:rPr>
          <w:rFonts w:hint="eastAsia"/>
          <w:szCs w:val="30"/>
        </w:rPr>
        <w:t>（十）湖泊水质专项监测</w:t>
      </w:r>
      <w:r>
        <w:tab/>
      </w:r>
      <w:r>
        <w:fldChar w:fldCharType="begin"/>
      </w:r>
      <w:r>
        <w:instrText xml:space="preserve"> PAGEREF _Toc22108 </w:instrText>
      </w:r>
      <w:r>
        <w:fldChar w:fldCharType="separate"/>
      </w:r>
      <w:r>
        <w:t>17</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_Toc14516 </w:instrText>
      </w:r>
      <w:r>
        <w:rPr>
          <w:rFonts w:ascii="楷体_GB2312" w:eastAsia="楷体_GB2312"/>
        </w:rPr>
        <w:fldChar w:fldCharType="separate"/>
      </w:r>
      <w:r>
        <w:rPr>
          <w:rFonts w:hint="eastAsia" w:ascii="黑体" w:hAnsi="黑体" w:eastAsia="黑体" w:cs="黑体"/>
          <w:bCs/>
          <w:szCs w:val="32"/>
          <w:lang w:val="en-US"/>
        </w:rPr>
        <w:t>三、 土壤环境质量监测</w:t>
      </w:r>
      <w:r>
        <w:tab/>
      </w:r>
      <w:r>
        <w:fldChar w:fldCharType="begin"/>
      </w:r>
      <w:r>
        <w:instrText xml:space="preserve"> PAGEREF _Toc14516 </w:instrText>
      </w:r>
      <w:r>
        <w:fldChar w:fldCharType="separate"/>
      </w:r>
      <w:r>
        <w:t>20</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_Toc28201 </w:instrText>
      </w:r>
      <w:r>
        <w:rPr>
          <w:rFonts w:ascii="楷体_GB2312" w:eastAsia="楷体_GB2312"/>
        </w:rPr>
        <w:fldChar w:fldCharType="separate"/>
      </w:r>
      <w:r>
        <w:rPr>
          <w:rFonts w:hint="eastAsia"/>
          <w:szCs w:val="30"/>
        </w:rPr>
        <w:t>（十</w:t>
      </w:r>
      <w:r>
        <w:rPr>
          <w:rFonts w:hint="eastAsia"/>
          <w:szCs w:val="30"/>
          <w:lang w:eastAsia="zh-CN"/>
        </w:rPr>
        <w:t>一</w:t>
      </w:r>
      <w:r>
        <w:rPr>
          <w:rFonts w:hint="eastAsia"/>
          <w:szCs w:val="30"/>
        </w:rPr>
        <w:t>）国家网土壤环境质量监测</w:t>
      </w:r>
      <w:r>
        <w:tab/>
      </w:r>
      <w:r>
        <w:fldChar w:fldCharType="begin"/>
      </w:r>
      <w:r>
        <w:instrText xml:space="preserve"> PAGEREF _Toc28201 </w:instrText>
      </w:r>
      <w:r>
        <w:fldChar w:fldCharType="separate"/>
      </w:r>
      <w:r>
        <w:t>20</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_Toc12354 </w:instrText>
      </w:r>
      <w:r>
        <w:rPr>
          <w:rFonts w:ascii="楷体_GB2312" w:eastAsia="楷体_GB2312"/>
        </w:rPr>
        <w:fldChar w:fldCharType="separate"/>
      </w:r>
      <w:r>
        <w:rPr>
          <w:rFonts w:hint="eastAsia"/>
          <w:szCs w:val="30"/>
        </w:rPr>
        <w:t>（十</w:t>
      </w:r>
      <w:r>
        <w:rPr>
          <w:rFonts w:hint="eastAsia"/>
          <w:szCs w:val="30"/>
          <w:lang w:eastAsia="zh-CN"/>
        </w:rPr>
        <w:t>二</w:t>
      </w:r>
      <w:r>
        <w:rPr>
          <w:rFonts w:hint="eastAsia"/>
          <w:szCs w:val="30"/>
        </w:rPr>
        <w:t>）省网土壤环境质量监测</w:t>
      </w:r>
      <w:r>
        <w:tab/>
      </w:r>
      <w:r>
        <w:fldChar w:fldCharType="begin"/>
      </w:r>
      <w:r>
        <w:instrText xml:space="preserve"> PAGEREF _Toc12354 </w:instrText>
      </w:r>
      <w:r>
        <w:fldChar w:fldCharType="separate"/>
      </w:r>
      <w:r>
        <w:t>21</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_Toc6844 </w:instrText>
      </w:r>
      <w:r>
        <w:rPr>
          <w:rFonts w:ascii="楷体_GB2312" w:eastAsia="楷体_GB2312"/>
        </w:rPr>
        <w:fldChar w:fldCharType="separate"/>
      </w:r>
      <w:r>
        <w:rPr>
          <w:rFonts w:hint="eastAsia"/>
          <w:szCs w:val="30"/>
        </w:rPr>
        <w:t>（十</w:t>
      </w:r>
      <w:r>
        <w:rPr>
          <w:rFonts w:hint="eastAsia"/>
          <w:szCs w:val="30"/>
          <w:lang w:eastAsia="zh-CN"/>
        </w:rPr>
        <w:t>三</w:t>
      </w:r>
      <w:r>
        <w:rPr>
          <w:rFonts w:hint="eastAsia"/>
          <w:szCs w:val="30"/>
        </w:rPr>
        <w:t>）土壤污染重点监管单位周边土壤专项监测</w:t>
      </w:r>
      <w:r>
        <w:tab/>
      </w:r>
      <w:r>
        <w:fldChar w:fldCharType="begin"/>
      </w:r>
      <w:r>
        <w:instrText xml:space="preserve"> PAGEREF _Toc6844 </w:instrText>
      </w:r>
      <w:r>
        <w:fldChar w:fldCharType="separate"/>
      </w:r>
      <w:r>
        <w:t>23</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_Toc107 </w:instrText>
      </w:r>
      <w:r>
        <w:rPr>
          <w:rFonts w:ascii="楷体_GB2312" w:eastAsia="楷体_GB2312"/>
        </w:rPr>
        <w:fldChar w:fldCharType="separate"/>
      </w:r>
      <w:r>
        <w:rPr>
          <w:rFonts w:hint="eastAsia"/>
          <w:szCs w:val="30"/>
        </w:rPr>
        <w:t>（十</w:t>
      </w:r>
      <w:r>
        <w:rPr>
          <w:rFonts w:hint="eastAsia"/>
          <w:szCs w:val="30"/>
          <w:lang w:eastAsia="zh-CN"/>
        </w:rPr>
        <w:t>四</w:t>
      </w:r>
      <w:r>
        <w:rPr>
          <w:rFonts w:hint="eastAsia"/>
          <w:szCs w:val="30"/>
        </w:rPr>
        <w:t>）重点地下水点位专项监测</w:t>
      </w:r>
      <w:r>
        <w:tab/>
      </w:r>
      <w:r>
        <w:fldChar w:fldCharType="begin"/>
      </w:r>
      <w:r>
        <w:instrText xml:space="preserve"> PAGEREF _Toc107 </w:instrText>
      </w:r>
      <w:r>
        <w:fldChar w:fldCharType="separate"/>
      </w:r>
      <w:r>
        <w:t>23</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_Toc31166 </w:instrText>
      </w:r>
      <w:r>
        <w:rPr>
          <w:rFonts w:ascii="楷体_GB2312" w:eastAsia="楷体_GB2312"/>
        </w:rPr>
        <w:fldChar w:fldCharType="separate"/>
      </w:r>
      <w:r>
        <w:rPr>
          <w:rFonts w:hint="eastAsia" w:ascii="黑体" w:hAnsi="黑体" w:eastAsia="黑体" w:cs="黑体"/>
          <w:bCs/>
          <w:szCs w:val="32"/>
          <w:lang w:val="en-US"/>
        </w:rPr>
        <w:t>四、 生态监测及其它专项监测</w:t>
      </w:r>
      <w:r>
        <w:tab/>
      </w:r>
      <w:r>
        <w:fldChar w:fldCharType="begin"/>
      </w:r>
      <w:r>
        <w:instrText xml:space="preserve"> PAGEREF _Toc31166 </w:instrText>
      </w:r>
      <w:r>
        <w:fldChar w:fldCharType="separate"/>
      </w:r>
      <w:r>
        <w:t>25</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_Toc403 </w:instrText>
      </w:r>
      <w:r>
        <w:rPr>
          <w:rFonts w:ascii="楷体_GB2312" w:eastAsia="楷体_GB2312"/>
        </w:rPr>
        <w:fldChar w:fldCharType="separate"/>
      </w:r>
      <w:r>
        <w:rPr>
          <w:rFonts w:hint="eastAsia"/>
          <w:szCs w:val="30"/>
        </w:rPr>
        <w:t>（十</w:t>
      </w:r>
      <w:r>
        <w:rPr>
          <w:rFonts w:hint="eastAsia"/>
          <w:szCs w:val="30"/>
          <w:lang w:eastAsia="zh-CN"/>
        </w:rPr>
        <w:t>五</w:t>
      </w:r>
      <w:r>
        <w:rPr>
          <w:rFonts w:hint="eastAsia"/>
          <w:szCs w:val="30"/>
        </w:rPr>
        <w:t>）国家重点生态功能区县域环境质量监测</w:t>
      </w:r>
      <w:r>
        <w:tab/>
      </w:r>
      <w:r>
        <w:fldChar w:fldCharType="begin"/>
      </w:r>
      <w:r>
        <w:instrText xml:space="preserve"> PAGEREF _Toc403 </w:instrText>
      </w:r>
      <w:r>
        <w:fldChar w:fldCharType="separate"/>
      </w:r>
      <w:r>
        <w:t>25</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_Toc30164 </w:instrText>
      </w:r>
      <w:r>
        <w:rPr>
          <w:rFonts w:ascii="楷体_GB2312" w:eastAsia="楷体_GB2312"/>
        </w:rPr>
        <w:fldChar w:fldCharType="separate"/>
      </w:r>
      <w:r>
        <w:rPr>
          <w:rFonts w:hint="eastAsia"/>
          <w:szCs w:val="30"/>
        </w:rPr>
        <w:t>（十</w:t>
      </w:r>
      <w:r>
        <w:rPr>
          <w:rFonts w:hint="eastAsia"/>
          <w:szCs w:val="30"/>
          <w:lang w:eastAsia="zh-CN"/>
        </w:rPr>
        <w:t>六</w:t>
      </w:r>
      <w:r>
        <w:rPr>
          <w:rFonts w:hint="eastAsia"/>
          <w:szCs w:val="30"/>
        </w:rPr>
        <w:t>）农村环境质量监测</w:t>
      </w:r>
      <w:r>
        <w:tab/>
      </w:r>
      <w:r>
        <w:fldChar w:fldCharType="begin"/>
      </w:r>
      <w:r>
        <w:instrText xml:space="preserve"> PAGEREF _Toc30164 </w:instrText>
      </w:r>
      <w:r>
        <w:fldChar w:fldCharType="separate"/>
      </w:r>
      <w:r>
        <w:t>27</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_Toc65 </w:instrText>
      </w:r>
      <w:r>
        <w:rPr>
          <w:rFonts w:ascii="楷体_GB2312" w:eastAsia="楷体_GB2312"/>
        </w:rPr>
        <w:fldChar w:fldCharType="separate"/>
      </w:r>
      <w:r>
        <w:rPr>
          <w:rFonts w:hint="eastAsia"/>
          <w:szCs w:val="30"/>
        </w:rPr>
        <w:t>（十</w:t>
      </w:r>
      <w:r>
        <w:rPr>
          <w:rFonts w:hint="eastAsia"/>
          <w:szCs w:val="30"/>
          <w:lang w:eastAsia="zh-CN"/>
        </w:rPr>
        <w:t>七</w:t>
      </w:r>
      <w:r>
        <w:rPr>
          <w:rFonts w:hint="eastAsia"/>
          <w:szCs w:val="30"/>
        </w:rPr>
        <w:t>）农田灌溉水质监测</w:t>
      </w:r>
      <w:r>
        <w:tab/>
      </w:r>
      <w:r>
        <w:fldChar w:fldCharType="begin"/>
      </w:r>
      <w:r>
        <w:instrText xml:space="preserve"> PAGEREF _Toc65 </w:instrText>
      </w:r>
      <w:r>
        <w:fldChar w:fldCharType="separate"/>
      </w:r>
      <w:r>
        <w:t>29</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_Toc19482 </w:instrText>
      </w:r>
      <w:r>
        <w:rPr>
          <w:rFonts w:ascii="楷体_GB2312" w:eastAsia="楷体_GB2312"/>
        </w:rPr>
        <w:fldChar w:fldCharType="separate"/>
      </w:r>
      <w:r>
        <w:rPr>
          <w:rFonts w:hint="eastAsia"/>
          <w:szCs w:val="30"/>
        </w:rPr>
        <w:t>（十</w:t>
      </w:r>
      <w:r>
        <w:rPr>
          <w:rFonts w:hint="eastAsia"/>
          <w:szCs w:val="30"/>
          <w:lang w:eastAsia="zh-CN"/>
        </w:rPr>
        <w:t>八</w:t>
      </w:r>
      <w:r>
        <w:rPr>
          <w:rFonts w:hint="eastAsia"/>
          <w:szCs w:val="30"/>
        </w:rPr>
        <w:t>）农村生活污水处理设施出水水质监测</w:t>
      </w:r>
      <w:r>
        <w:tab/>
      </w:r>
      <w:r>
        <w:fldChar w:fldCharType="begin"/>
      </w:r>
      <w:r>
        <w:instrText xml:space="preserve"> PAGEREF _Toc19482 </w:instrText>
      </w:r>
      <w:r>
        <w:fldChar w:fldCharType="separate"/>
      </w:r>
      <w:r>
        <w:t>31</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_Toc1313 </w:instrText>
      </w:r>
      <w:r>
        <w:rPr>
          <w:rFonts w:ascii="楷体_GB2312" w:eastAsia="楷体_GB2312"/>
        </w:rPr>
        <w:fldChar w:fldCharType="separate"/>
      </w:r>
      <w:r>
        <w:rPr>
          <w:rFonts w:hint="eastAsia"/>
          <w:szCs w:val="30"/>
        </w:rPr>
        <w:t>（十</w:t>
      </w:r>
      <w:r>
        <w:rPr>
          <w:rFonts w:hint="eastAsia"/>
          <w:szCs w:val="30"/>
          <w:lang w:eastAsia="zh-CN"/>
        </w:rPr>
        <w:t>九</w:t>
      </w:r>
      <w:r>
        <w:rPr>
          <w:rFonts w:hint="eastAsia"/>
          <w:szCs w:val="30"/>
        </w:rPr>
        <w:t>）农村黑臭水体水质监测</w:t>
      </w:r>
      <w:r>
        <w:tab/>
      </w:r>
      <w:r>
        <w:fldChar w:fldCharType="begin"/>
      </w:r>
      <w:r>
        <w:instrText xml:space="preserve"> PAGEREF _Toc1313 </w:instrText>
      </w:r>
      <w:r>
        <w:fldChar w:fldCharType="separate"/>
      </w:r>
      <w:r>
        <w:t>35</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_Toc10881 </w:instrText>
      </w:r>
      <w:r>
        <w:rPr>
          <w:rFonts w:ascii="楷体_GB2312" w:eastAsia="楷体_GB2312"/>
        </w:rPr>
        <w:fldChar w:fldCharType="separate"/>
      </w:r>
      <w:r>
        <w:rPr>
          <w:rFonts w:hint="eastAsia"/>
          <w:szCs w:val="30"/>
        </w:rPr>
        <w:t>（二十）</w:t>
      </w:r>
      <w:r>
        <w:rPr>
          <w:rFonts w:hint="eastAsia"/>
          <w:szCs w:val="30"/>
          <w:lang w:eastAsia="zh-CN"/>
        </w:rPr>
        <w:t>农业面源污染监测评估</w:t>
      </w:r>
      <w:r>
        <w:tab/>
      </w:r>
      <w:r>
        <w:fldChar w:fldCharType="begin"/>
      </w:r>
      <w:r>
        <w:instrText xml:space="preserve"> PAGEREF _Toc10881 </w:instrText>
      </w:r>
      <w:r>
        <w:fldChar w:fldCharType="separate"/>
      </w:r>
      <w:r>
        <w:t>36</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_Toc5748 </w:instrText>
      </w:r>
      <w:r>
        <w:rPr>
          <w:rFonts w:ascii="楷体_GB2312" w:eastAsia="楷体_GB2312"/>
        </w:rPr>
        <w:fldChar w:fldCharType="separate"/>
      </w:r>
      <w:r>
        <w:rPr>
          <w:rFonts w:hint="eastAsia"/>
          <w:szCs w:val="30"/>
        </w:rPr>
        <w:t>（二十</w:t>
      </w:r>
      <w:r>
        <w:rPr>
          <w:rFonts w:hint="eastAsia"/>
          <w:szCs w:val="30"/>
          <w:lang w:eastAsia="zh-CN"/>
        </w:rPr>
        <w:t>一</w:t>
      </w:r>
      <w:r>
        <w:rPr>
          <w:rFonts w:hint="eastAsia"/>
          <w:szCs w:val="30"/>
        </w:rPr>
        <w:t>）声环境质量监测</w:t>
      </w:r>
      <w:r>
        <w:tab/>
      </w:r>
      <w:r>
        <w:fldChar w:fldCharType="begin"/>
      </w:r>
      <w:r>
        <w:instrText xml:space="preserve"> PAGEREF _Toc5748 </w:instrText>
      </w:r>
      <w:r>
        <w:fldChar w:fldCharType="separate"/>
      </w:r>
      <w:r>
        <w:t>38</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_Toc5652 </w:instrText>
      </w:r>
      <w:r>
        <w:rPr>
          <w:rFonts w:ascii="楷体_GB2312" w:eastAsia="楷体_GB2312"/>
        </w:rPr>
        <w:fldChar w:fldCharType="separate"/>
      </w:r>
      <w:r>
        <w:rPr>
          <w:rFonts w:hint="eastAsia" w:ascii="黑体" w:hAnsi="黑体" w:eastAsia="黑体" w:cs="黑体"/>
          <w:bCs/>
          <w:szCs w:val="32"/>
          <w:lang w:val="en-US"/>
        </w:rPr>
        <w:t>五、 污染源监测</w:t>
      </w:r>
      <w:r>
        <w:tab/>
      </w:r>
      <w:r>
        <w:fldChar w:fldCharType="begin"/>
      </w:r>
      <w:r>
        <w:instrText xml:space="preserve"> PAGEREF _Toc5652 </w:instrText>
      </w:r>
      <w:r>
        <w:fldChar w:fldCharType="separate"/>
      </w:r>
      <w:r>
        <w:t>40</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_Toc1464 </w:instrText>
      </w:r>
      <w:r>
        <w:rPr>
          <w:rFonts w:ascii="楷体_GB2312" w:eastAsia="楷体_GB2312"/>
        </w:rPr>
        <w:fldChar w:fldCharType="separate"/>
      </w:r>
      <w:r>
        <w:rPr>
          <w:rFonts w:hint="eastAsia"/>
          <w:szCs w:val="30"/>
        </w:rPr>
        <w:t>（二十</w:t>
      </w:r>
      <w:r>
        <w:rPr>
          <w:rFonts w:hint="eastAsia"/>
          <w:szCs w:val="30"/>
          <w:lang w:eastAsia="zh-CN"/>
        </w:rPr>
        <w:t>二</w:t>
      </w:r>
      <w:r>
        <w:rPr>
          <w:rFonts w:hint="eastAsia"/>
          <w:szCs w:val="30"/>
        </w:rPr>
        <w:t>）污染源执法监测</w:t>
      </w:r>
      <w:r>
        <w:tab/>
      </w:r>
      <w:r>
        <w:fldChar w:fldCharType="begin"/>
      </w:r>
      <w:r>
        <w:instrText xml:space="preserve"> PAGEREF _Toc1464 </w:instrText>
      </w:r>
      <w:r>
        <w:fldChar w:fldCharType="separate"/>
      </w:r>
      <w:r>
        <w:t>40</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_Toc113 </w:instrText>
      </w:r>
      <w:r>
        <w:rPr>
          <w:rFonts w:ascii="楷体_GB2312" w:eastAsia="楷体_GB2312"/>
        </w:rPr>
        <w:fldChar w:fldCharType="separate"/>
      </w:r>
      <w:r>
        <w:rPr>
          <w:rFonts w:hint="eastAsia"/>
          <w:szCs w:val="30"/>
        </w:rPr>
        <w:t>（二十</w:t>
      </w:r>
      <w:r>
        <w:rPr>
          <w:rFonts w:hint="eastAsia"/>
          <w:szCs w:val="30"/>
          <w:lang w:eastAsia="zh-CN"/>
        </w:rPr>
        <w:t>三</w:t>
      </w:r>
      <w:r>
        <w:rPr>
          <w:rFonts w:hint="eastAsia"/>
          <w:szCs w:val="30"/>
        </w:rPr>
        <w:t>）排污单位自行监测</w:t>
      </w:r>
      <w:r>
        <w:tab/>
      </w:r>
      <w:r>
        <w:fldChar w:fldCharType="begin"/>
      </w:r>
      <w:r>
        <w:instrText xml:space="preserve"> PAGEREF _Toc113 </w:instrText>
      </w:r>
      <w:r>
        <w:fldChar w:fldCharType="separate"/>
      </w:r>
      <w:r>
        <w:t>41</w:t>
      </w:r>
      <w:r>
        <w:fldChar w:fldCharType="end"/>
      </w:r>
      <w:r>
        <w:rPr>
          <w:rFonts w:ascii="楷体_GB2312" w:eastAsia="楷体_GB2312"/>
          <w:color w:val="000000"/>
        </w:rPr>
        <w:fldChar w:fldCharType="end"/>
      </w:r>
      <w:bookmarkStart w:id="377" w:name="_GoBack"/>
      <w:bookmarkEnd w:id="377"/>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_Toc18111 </w:instrText>
      </w:r>
      <w:r>
        <w:rPr>
          <w:rFonts w:ascii="楷体_GB2312" w:eastAsia="楷体_GB2312"/>
        </w:rPr>
        <w:fldChar w:fldCharType="separate"/>
      </w:r>
      <w:r>
        <w:rPr>
          <w:rFonts w:hint="eastAsia"/>
          <w:szCs w:val="30"/>
        </w:rPr>
        <w:t>（二十</w:t>
      </w:r>
      <w:r>
        <w:rPr>
          <w:rFonts w:hint="eastAsia"/>
          <w:szCs w:val="30"/>
          <w:lang w:eastAsia="zh-CN"/>
        </w:rPr>
        <w:t>四</w:t>
      </w:r>
      <w:r>
        <w:rPr>
          <w:rFonts w:hint="eastAsia"/>
          <w:szCs w:val="30"/>
        </w:rPr>
        <w:t>）固定污染源废气VOCs专项抽查抽测</w:t>
      </w:r>
      <w:r>
        <w:tab/>
      </w:r>
      <w:r>
        <w:fldChar w:fldCharType="begin"/>
      </w:r>
      <w:r>
        <w:instrText xml:space="preserve"> PAGEREF _Toc18111 </w:instrText>
      </w:r>
      <w:r>
        <w:fldChar w:fldCharType="separate"/>
      </w:r>
      <w:r>
        <w:t>43</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_Toc23165 </w:instrText>
      </w:r>
      <w:r>
        <w:rPr>
          <w:rFonts w:ascii="楷体_GB2312" w:eastAsia="楷体_GB2312"/>
        </w:rPr>
        <w:fldChar w:fldCharType="separate"/>
      </w:r>
      <w:r>
        <w:rPr>
          <w:rFonts w:hint="eastAsia"/>
          <w:szCs w:val="30"/>
        </w:rPr>
        <w:t>（二十</w:t>
      </w:r>
      <w:r>
        <w:rPr>
          <w:rFonts w:hint="eastAsia"/>
          <w:szCs w:val="30"/>
          <w:lang w:eastAsia="zh-CN"/>
        </w:rPr>
        <w:t>五</w:t>
      </w:r>
      <w:r>
        <w:rPr>
          <w:rFonts w:hint="eastAsia"/>
          <w:szCs w:val="30"/>
        </w:rPr>
        <w:t>）工业园区专项监测</w:t>
      </w:r>
      <w:r>
        <w:tab/>
      </w:r>
      <w:r>
        <w:fldChar w:fldCharType="begin"/>
      </w:r>
      <w:r>
        <w:instrText xml:space="preserve"> PAGEREF _Toc23165 </w:instrText>
      </w:r>
      <w:r>
        <w:fldChar w:fldCharType="separate"/>
      </w:r>
      <w:r>
        <w:t>44</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_Toc26749 </w:instrText>
      </w:r>
      <w:r>
        <w:rPr>
          <w:rFonts w:ascii="楷体_GB2312" w:eastAsia="楷体_GB2312"/>
        </w:rPr>
        <w:fldChar w:fldCharType="separate"/>
      </w:r>
      <w:r>
        <w:rPr>
          <w:rFonts w:hint="eastAsia"/>
          <w:szCs w:val="30"/>
        </w:rPr>
        <w:t>（二十</w:t>
      </w:r>
      <w:r>
        <w:rPr>
          <w:rFonts w:hint="eastAsia"/>
          <w:szCs w:val="30"/>
          <w:lang w:eastAsia="zh-CN"/>
        </w:rPr>
        <w:t>六</w:t>
      </w:r>
      <w:r>
        <w:rPr>
          <w:rFonts w:hint="eastAsia"/>
          <w:szCs w:val="30"/>
        </w:rPr>
        <w:t>）长江经济带入河排污口监测</w:t>
      </w:r>
      <w:r>
        <w:tab/>
      </w:r>
      <w:r>
        <w:fldChar w:fldCharType="begin"/>
      </w:r>
      <w:r>
        <w:instrText xml:space="preserve"> PAGEREF _Toc26749 </w:instrText>
      </w:r>
      <w:r>
        <w:fldChar w:fldCharType="separate"/>
      </w:r>
      <w:r>
        <w:t>45</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_Toc14464 </w:instrText>
      </w:r>
      <w:r>
        <w:rPr>
          <w:rFonts w:ascii="楷体_GB2312" w:eastAsia="楷体_GB2312"/>
        </w:rPr>
        <w:fldChar w:fldCharType="separate"/>
      </w:r>
      <w:r>
        <w:rPr>
          <w:rFonts w:hint="eastAsia" w:ascii="黑体" w:hAnsi="黑体" w:eastAsia="黑体" w:cs="黑体"/>
          <w:bCs/>
          <w:szCs w:val="32"/>
          <w:lang w:val="en-US"/>
        </w:rPr>
        <w:t>六、环境监测外部质量监督与检查</w:t>
      </w:r>
      <w:r>
        <w:tab/>
      </w:r>
      <w:r>
        <w:fldChar w:fldCharType="begin"/>
      </w:r>
      <w:r>
        <w:instrText xml:space="preserve"> PAGEREF _Toc14464 </w:instrText>
      </w:r>
      <w:r>
        <w:fldChar w:fldCharType="separate"/>
      </w:r>
      <w:r>
        <w:t>46</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_Toc6496 </w:instrText>
      </w:r>
      <w:r>
        <w:rPr>
          <w:rFonts w:ascii="楷体_GB2312" w:eastAsia="楷体_GB2312"/>
        </w:rPr>
        <w:fldChar w:fldCharType="separate"/>
      </w:r>
      <w:r>
        <w:rPr>
          <w:rFonts w:hint="eastAsia"/>
          <w:szCs w:val="30"/>
        </w:rPr>
        <w:t>（二十</w:t>
      </w:r>
      <w:r>
        <w:rPr>
          <w:rFonts w:hint="eastAsia"/>
          <w:szCs w:val="30"/>
          <w:lang w:eastAsia="zh-CN"/>
        </w:rPr>
        <w:t>七</w:t>
      </w:r>
      <w:r>
        <w:rPr>
          <w:rFonts w:hint="eastAsia"/>
          <w:szCs w:val="30"/>
        </w:rPr>
        <w:t>）环境监测外部质量监督与核查</w:t>
      </w:r>
      <w:r>
        <w:tab/>
      </w:r>
      <w:r>
        <w:fldChar w:fldCharType="begin"/>
      </w:r>
      <w:r>
        <w:instrText xml:space="preserve"> PAGEREF _Toc6496 </w:instrText>
      </w:r>
      <w:r>
        <w:fldChar w:fldCharType="separate"/>
      </w:r>
      <w:r>
        <w:t>46</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_Toc1849 </w:instrText>
      </w:r>
      <w:r>
        <w:rPr>
          <w:rFonts w:ascii="楷体_GB2312" w:eastAsia="楷体_GB2312"/>
        </w:rPr>
        <w:fldChar w:fldCharType="separate"/>
      </w:r>
      <w:r>
        <w:rPr>
          <w:rFonts w:hint="eastAsia" w:ascii="黑体" w:hAnsi="黑体" w:eastAsia="黑体" w:cs="黑体"/>
          <w:bCs/>
          <w:szCs w:val="32"/>
          <w:lang w:val="en-US"/>
        </w:rPr>
        <w:t>七、生态环境质量报告报送</w:t>
      </w:r>
      <w:r>
        <w:tab/>
      </w:r>
      <w:r>
        <w:fldChar w:fldCharType="begin"/>
      </w:r>
      <w:r>
        <w:instrText xml:space="preserve"> PAGEREF _Toc1849 </w:instrText>
      </w:r>
      <w:r>
        <w:fldChar w:fldCharType="separate"/>
      </w:r>
      <w:r>
        <w:t>47</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_Toc17071 </w:instrText>
      </w:r>
      <w:r>
        <w:rPr>
          <w:rFonts w:ascii="楷体_GB2312" w:eastAsia="楷体_GB2312"/>
        </w:rPr>
        <w:fldChar w:fldCharType="separate"/>
      </w:r>
      <w:r>
        <w:rPr>
          <w:rFonts w:hint="eastAsia"/>
          <w:szCs w:val="30"/>
        </w:rPr>
        <w:t>（二十</w:t>
      </w:r>
      <w:r>
        <w:rPr>
          <w:rFonts w:hint="eastAsia"/>
          <w:szCs w:val="30"/>
          <w:lang w:eastAsia="zh-CN"/>
        </w:rPr>
        <w:t>八</w:t>
      </w:r>
      <w:r>
        <w:rPr>
          <w:rFonts w:hint="eastAsia"/>
          <w:szCs w:val="30"/>
        </w:rPr>
        <w:t>）202</w:t>
      </w:r>
      <w:r>
        <w:rPr>
          <w:rFonts w:hint="eastAsia"/>
          <w:szCs w:val="30"/>
          <w:lang w:val="en-US" w:eastAsia="zh-CN"/>
        </w:rPr>
        <w:t>2</w:t>
      </w:r>
      <w:r>
        <w:rPr>
          <w:rFonts w:hint="eastAsia"/>
          <w:szCs w:val="30"/>
        </w:rPr>
        <w:t>年生态环境质量报告书</w:t>
      </w:r>
      <w:r>
        <w:tab/>
      </w:r>
      <w:r>
        <w:fldChar w:fldCharType="begin"/>
      </w:r>
      <w:r>
        <w:instrText xml:space="preserve"> PAGEREF _Toc17071 </w:instrText>
      </w:r>
      <w:r>
        <w:fldChar w:fldCharType="separate"/>
      </w:r>
      <w:r>
        <w:t>47</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_Toc7679 </w:instrText>
      </w:r>
      <w:r>
        <w:rPr>
          <w:rFonts w:ascii="楷体_GB2312" w:eastAsia="楷体_GB2312"/>
        </w:rPr>
        <w:fldChar w:fldCharType="separate"/>
      </w:r>
      <w:r>
        <w:rPr>
          <w:rFonts w:hint="eastAsia" w:ascii="黑体" w:hAnsi="黑体" w:eastAsia="黑体" w:cs="黑体"/>
          <w:bCs/>
          <w:szCs w:val="32"/>
          <w:lang w:val="en-US"/>
        </w:rPr>
        <w:t>八、</w:t>
      </w:r>
      <w:r>
        <w:rPr>
          <w:rFonts w:hint="eastAsia" w:ascii="黑体" w:hAnsi="黑体" w:eastAsia="黑体" w:cs="黑体"/>
          <w:bCs/>
          <w:szCs w:val="32"/>
        </w:rPr>
        <w:t>生态环境监测基础能力信息更新与填报</w:t>
      </w:r>
      <w:r>
        <w:tab/>
      </w:r>
      <w:r>
        <w:fldChar w:fldCharType="begin"/>
      </w:r>
      <w:r>
        <w:instrText xml:space="preserve"> PAGEREF _Toc7679 </w:instrText>
      </w:r>
      <w:r>
        <w:fldChar w:fldCharType="separate"/>
      </w:r>
      <w:r>
        <w:t>48</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_Toc19690 </w:instrText>
      </w:r>
      <w:r>
        <w:rPr>
          <w:rFonts w:ascii="楷体_GB2312" w:eastAsia="楷体_GB2312"/>
        </w:rPr>
        <w:fldChar w:fldCharType="separate"/>
      </w:r>
      <w:r>
        <w:rPr>
          <w:rFonts w:hint="eastAsia"/>
          <w:szCs w:val="30"/>
        </w:rPr>
        <w:t>（</w:t>
      </w:r>
      <w:r>
        <w:rPr>
          <w:rFonts w:hint="eastAsia"/>
          <w:szCs w:val="30"/>
          <w:lang w:eastAsia="zh-CN"/>
        </w:rPr>
        <w:t>二</w:t>
      </w:r>
      <w:r>
        <w:rPr>
          <w:rFonts w:hint="eastAsia"/>
          <w:szCs w:val="30"/>
        </w:rPr>
        <w:t>十</w:t>
      </w:r>
      <w:r>
        <w:rPr>
          <w:rFonts w:hint="eastAsia"/>
          <w:szCs w:val="30"/>
          <w:lang w:eastAsia="zh-CN"/>
        </w:rPr>
        <w:t>九</w:t>
      </w:r>
      <w:r>
        <w:rPr>
          <w:rFonts w:hint="eastAsia"/>
          <w:szCs w:val="30"/>
        </w:rPr>
        <w:t>）生态环境监测基础能力信息更新与填报</w:t>
      </w:r>
      <w:r>
        <w:tab/>
      </w:r>
      <w:r>
        <w:fldChar w:fldCharType="begin"/>
      </w:r>
      <w:r>
        <w:instrText xml:space="preserve"> PAGEREF _Toc19690 </w:instrText>
      </w:r>
      <w:r>
        <w:fldChar w:fldCharType="separate"/>
      </w:r>
      <w:r>
        <w:t>48</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_Toc32713 </w:instrText>
      </w:r>
      <w:r>
        <w:rPr>
          <w:rFonts w:ascii="楷体_GB2312" w:eastAsia="楷体_GB2312"/>
        </w:rPr>
        <w:fldChar w:fldCharType="separate"/>
      </w:r>
      <w:r>
        <w:rPr>
          <w:rFonts w:hint="eastAsia" w:ascii="黑体" w:hAnsi="黑体" w:eastAsia="黑体" w:cs="黑体"/>
          <w:bCs/>
          <w:szCs w:val="32"/>
          <w:lang w:eastAsia="zh-CN"/>
        </w:rPr>
        <w:t>九．</w:t>
      </w:r>
      <w:r>
        <w:rPr>
          <w:rFonts w:hint="eastAsia" w:ascii="黑体" w:hAnsi="黑体" w:eastAsia="黑体" w:cs="黑体"/>
          <w:bCs/>
          <w:szCs w:val="32"/>
        </w:rPr>
        <w:t>生态环境监测点位风险隐患排查</w:t>
      </w:r>
      <w:r>
        <w:tab/>
      </w:r>
      <w:r>
        <w:fldChar w:fldCharType="begin"/>
      </w:r>
      <w:r>
        <w:instrText xml:space="preserve"> PAGEREF _Toc32713 </w:instrText>
      </w:r>
      <w:r>
        <w:fldChar w:fldCharType="separate"/>
      </w:r>
      <w:r>
        <w:t>48</w:t>
      </w:r>
      <w:r>
        <w:fldChar w:fldCharType="end"/>
      </w:r>
      <w:r>
        <w:rPr>
          <w:rFonts w:ascii="楷体_GB2312" w:eastAsia="楷体_GB2312"/>
          <w:color w:val="000000"/>
        </w:rPr>
        <w:fldChar w:fldCharType="end"/>
      </w:r>
    </w:p>
    <w:p>
      <w:pPr>
        <w:pStyle w:val="16"/>
        <w:tabs>
          <w:tab w:val="right" w:leader="dot" w:pos="8312"/>
          <w:tab w:val="clear" w:pos="8296"/>
        </w:tabs>
      </w:pPr>
      <w:r>
        <w:rPr>
          <w:rFonts w:ascii="楷体_GB2312" w:eastAsia="楷体_GB2312"/>
          <w:color w:val="000000"/>
        </w:rPr>
        <w:fldChar w:fldCharType="begin"/>
      </w:r>
      <w:r>
        <w:rPr>
          <w:rFonts w:ascii="楷体_GB2312" w:eastAsia="楷体_GB2312"/>
        </w:rPr>
        <w:instrText xml:space="preserve"> HYPERLINK \l _Toc25020 </w:instrText>
      </w:r>
      <w:r>
        <w:rPr>
          <w:rFonts w:ascii="楷体_GB2312" w:eastAsia="楷体_GB2312"/>
        </w:rPr>
        <w:fldChar w:fldCharType="separate"/>
      </w:r>
      <w:r>
        <w:rPr>
          <w:rFonts w:hint="eastAsia"/>
          <w:szCs w:val="30"/>
        </w:rPr>
        <w:t>（三十）生态环境监测点位风险隐患排查</w:t>
      </w:r>
      <w:r>
        <w:tab/>
      </w:r>
      <w:r>
        <w:fldChar w:fldCharType="begin"/>
      </w:r>
      <w:r>
        <w:instrText xml:space="preserve"> PAGEREF _Toc25020 </w:instrText>
      </w:r>
      <w:r>
        <w:fldChar w:fldCharType="separate"/>
      </w:r>
      <w:r>
        <w:t>48</w:t>
      </w:r>
      <w:r>
        <w:fldChar w:fldCharType="end"/>
      </w:r>
      <w:r>
        <w:rPr>
          <w:rFonts w:ascii="楷体_GB2312" w:eastAsia="楷体_GB2312"/>
          <w:color w:val="000000"/>
        </w:rPr>
        <w:fldChar w:fldCharType="end"/>
      </w:r>
    </w:p>
    <w:p>
      <w:pPr>
        <w:widowControl/>
        <w:spacing w:line="560" w:lineRule="exact"/>
        <w:jc w:val="center"/>
        <w:rPr>
          <w:rFonts w:ascii="楷体_GB2312" w:eastAsia="楷体_GB2312"/>
          <w:color w:val="000000"/>
        </w:rPr>
      </w:pPr>
      <w:r>
        <w:rPr>
          <w:rFonts w:ascii="楷体_GB2312" w:eastAsia="楷体_GB2312"/>
          <w:color w:val="000000"/>
        </w:rPr>
        <w:fldChar w:fldCharType="end"/>
      </w:r>
      <w:bookmarkEnd w:id="0"/>
    </w:p>
    <w:p>
      <w:pPr>
        <w:pStyle w:val="2"/>
        <w:ind w:firstLine="480"/>
        <w:sectPr>
          <w:footerReference r:id="rId9" w:type="default"/>
          <w:pgSz w:w="11906" w:h="16838"/>
          <w:pgMar w:top="1440" w:right="1797" w:bottom="1440" w:left="1797" w:header="851" w:footer="680" w:gutter="0"/>
          <w:pgNumType w:start="1"/>
          <w:cols w:space="720" w:num="1"/>
          <w:docGrid w:type="lines" w:linePitch="312" w:charSpace="0"/>
        </w:sectPr>
      </w:pPr>
    </w:p>
    <w:p>
      <w:pPr>
        <w:topLinePunct/>
        <w:adjustRightInd w:val="0"/>
        <w:snapToGrid w:val="0"/>
        <w:spacing w:line="560" w:lineRule="exact"/>
        <w:ind w:firstLine="560" w:firstLineChars="200"/>
        <w:rPr>
          <w:rFonts w:ascii="仿宋_GB2312" w:hAnsi="仿宋_GB2312" w:eastAsia="仿宋_GB2312" w:cs="仿宋_GB2312"/>
          <w:sz w:val="28"/>
          <w:szCs w:val="28"/>
          <w:highlight w:val="green"/>
        </w:rPr>
      </w:pPr>
      <w:bookmarkStart w:id="1" w:name="_Toc38465018"/>
      <w:bookmarkStart w:id="2" w:name="_Toc1999161"/>
      <w:bookmarkStart w:id="3" w:name="_Toc62822056"/>
      <w:r>
        <w:rPr>
          <w:rFonts w:hint="eastAsia" w:ascii="仿宋_GB2312" w:hAnsi="仿宋_GB2312" w:eastAsia="仿宋_GB2312" w:cs="仿宋_GB2312"/>
          <w:sz w:val="28"/>
          <w:szCs w:val="28"/>
        </w:rPr>
        <w:t>根据《2023年全省生态环境监测工作计划》和《2023年湖北省生态环境监测方案》要求，结合咸宁实际，涉及我市地方生态环境监测事权包括空气环境、水环境、土壤和地下水环境等九个方面三十项具体监测事项。</w:t>
      </w:r>
    </w:p>
    <w:p>
      <w:pPr>
        <w:pStyle w:val="2"/>
        <w:ind w:firstLine="560"/>
        <w:rPr>
          <w:rFonts w:ascii="仿宋_GB2312" w:hAnsi="仿宋_GB2312" w:eastAsia="仿宋_GB2312" w:cs="仿宋_GB2312"/>
          <w:sz w:val="28"/>
          <w:szCs w:val="28"/>
        </w:rPr>
      </w:pPr>
    </w:p>
    <w:p>
      <w:pPr>
        <w:pStyle w:val="2"/>
        <w:numPr>
          <w:ilvl w:val="0"/>
          <w:numId w:val="2"/>
        </w:numPr>
        <w:ind w:firstLine="643"/>
        <w:jc w:val="center"/>
        <w:outlineLvl w:val="0"/>
        <w:rPr>
          <w:rFonts w:ascii="黑体" w:hAnsi="黑体" w:eastAsia="黑体" w:cs="黑体"/>
          <w:b/>
          <w:bCs/>
          <w:sz w:val="32"/>
          <w:szCs w:val="32"/>
          <w:lang w:val="en-US"/>
        </w:rPr>
      </w:pPr>
      <w:bookmarkStart w:id="4" w:name="_Toc6977"/>
      <w:r>
        <w:rPr>
          <w:rFonts w:hint="eastAsia" w:ascii="黑体" w:hAnsi="黑体" w:eastAsia="黑体" w:cs="黑体"/>
          <w:b/>
          <w:bCs/>
          <w:sz w:val="32"/>
          <w:szCs w:val="32"/>
          <w:lang w:val="en-US"/>
        </w:rPr>
        <w:t>空气环境质量监测</w:t>
      </w:r>
      <w:bookmarkEnd w:id="4"/>
    </w:p>
    <w:p>
      <w:pPr>
        <w:pStyle w:val="2"/>
        <w:ind w:firstLine="0" w:firstLineChars="0"/>
        <w:rPr>
          <w:rFonts w:ascii="黑体" w:hAnsi="黑体" w:eastAsia="黑体" w:cs="黑体"/>
          <w:sz w:val="32"/>
          <w:szCs w:val="32"/>
          <w:lang w:val="en-US"/>
        </w:rPr>
      </w:pPr>
    </w:p>
    <w:p>
      <w:pPr>
        <w:pStyle w:val="4"/>
        <w:tabs>
          <w:tab w:val="left" w:pos="0"/>
        </w:tabs>
        <w:ind w:firstLine="600"/>
        <w:rPr>
          <w:sz w:val="30"/>
          <w:szCs w:val="30"/>
        </w:rPr>
      </w:pPr>
      <w:bookmarkStart w:id="5" w:name="_Toc10385"/>
      <w:r>
        <w:rPr>
          <w:rFonts w:hint="eastAsia"/>
          <w:sz w:val="30"/>
          <w:szCs w:val="30"/>
        </w:rPr>
        <w:t>（一）城市空气质量监测</w:t>
      </w:r>
      <w:bookmarkEnd w:id="1"/>
      <w:bookmarkEnd w:id="2"/>
      <w:bookmarkEnd w:id="3"/>
      <w:bookmarkEnd w:id="5"/>
    </w:p>
    <w:p>
      <w:pPr>
        <w:topLinePunct/>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1.监测点位</w:t>
      </w:r>
    </w:p>
    <w:p>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咸宁市现有1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个空气</w:t>
      </w:r>
      <w:r>
        <w:rPr>
          <w:rFonts w:hint="eastAsia" w:ascii="仿宋_GB2312" w:hAnsi="仿宋_GB2312" w:eastAsia="仿宋_GB2312" w:cs="仿宋_GB2312"/>
          <w:sz w:val="28"/>
          <w:szCs w:val="28"/>
          <w:lang w:eastAsia="zh-CN"/>
        </w:rPr>
        <w:t>质量</w:t>
      </w:r>
      <w:r>
        <w:rPr>
          <w:rFonts w:hint="eastAsia" w:ascii="仿宋_GB2312" w:hAnsi="仿宋_GB2312" w:eastAsia="仿宋_GB2312" w:cs="仿宋_GB2312"/>
          <w:sz w:val="28"/>
          <w:szCs w:val="28"/>
        </w:rPr>
        <w:t>自动监测站，具体见下表1。</w:t>
      </w:r>
    </w:p>
    <w:p>
      <w:pPr>
        <w:spacing w:line="560" w:lineRule="exact"/>
        <w:ind w:firstLine="480" w:firstLineChars="200"/>
        <w:jc w:val="center"/>
        <w:rPr>
          <w:rFonts w:ascii="黑体" w:hAnsi="黑体" w:eastAsia="黑体" w:cs="黑体"/>
          <w:sz w:val="24"/>
          <w:szCs w:val="24"/>
        </w:rPr>
      </w:pPr>
      <w:r>
        <w:rPr>
          <w:rFonts w:hint="eastAsia" w:ascii="黑体" w:hAnsi="黑体" w:eastAsia="黑体" w:cs="黑体"/>
          <w:sz w:val="24"/>
          <w:szCs w:val="24"/>
        </w:rPr>
        <w:t>表1 城市空气质量监测站点</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372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374"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所在区域</w:t>
            </w:r>
          </w:p>
        </w:tc>
        <w:tc>
          <w:tcPr>
            <w:tcW w:w="2105"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空气自动监测站点</w:t>
            </w:r>
          </w:p>
        </w:tc>
        <w:tc>
          <w:tcPr>
            <w:tcW w:w="1519"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咸安区</w:t>
            </w:r>
          </w:p>
        </w:tc>
        <w:tc>
          <w:tcPr>
            <w:tcW w:w="2105"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市发改委站</w:t>
            </w:r>
          </w:p>
        </w:tc>
        <w:tc>
          <w:tcPr>
            <w:tcW w:w="151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国控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咸安区</w:t>
            </w:r>
          </w:p>
        </w:tc>
        <w:tc>
          <w:tcPr>
            <w:tcW w:w="2105"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咸安区政府站</w:t>
            </w:r>
          </w:p>
        </w:tc>
        <w:tc>
          <w:tcPr>
            <w:tcW w:w="151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国控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高新区</w:t>
            </w:r>
          </w:p>
        </w:tc>
        <w:tc>
          <w:tcPr>
            <w:tcW w:w="2105"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长江产业园站</w:t>
            </w:r>
          </w:p>
        </w:tc>
        <w:tc>
          <w:tcPr>
            <w:tcW w:w="151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国控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咸安区</w:t>
            </w:r>
          </w:p>
        </w:tc>
        <w:tc>
          <w:tcPr>
            <w:tcW w:w="2105"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森林公园站</w:t>
            </w:r>
          </w:p>
        </w:tc>
        <w:tc>
          <w:tcPr>
            <w:tcW w:w="151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国控清洁对照点，省级运维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咸安区</w:t>
            </w:r>
          </w:p>
        </w:tc>
        <w:tc>
          <w:tcPr>
            <w:tcW w:w="2105" w:type="pct"/>
            <w:vAlign w:val="center"/>
          </w:tcPr>
          <w:p>
            <w:pPr>
              <w:spacing w:line="40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咸宁市超级站</w:t>
            </w:r>
          </w:p>
        </w:tc>
        <w:tc>
          <w:tcPr>
            <w:tcW w:w="1519" w:type="pct"/>
            <w:vAlign w:val="center"/>
          </w:tcPr>
          <w:p>
            <w:pPr>
              <w:spacing w:line="40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咸安区</w:t>
            </w:r>
          </w:p>
        </w:tc>
        <w:tc>
          <w:tcPr>
            <w:tcW w:w="2105" w:type="pct"/>
            <w:vAlign w:val="center"/>
          </w:tcPr>
          <w:p>
            <w:pPr>
              <w:spacing w:line="40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凤凰工业园站</w:t>
            </w:r>
          </w:p>
        </w:tc>
        <w:tc>
          <w:tcPr>
            <w:tcW w:w="1519" w:type="pct"/>
            <w:vAlign w:val="center"/>
          </w:tcPr>
          <w:p>
            <w:pPr>
              <w:spacing w:line="400" w:lineRule="exac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咸安区</w:t>
            </w:r>
          </w:p>
        </w:tc>
        <w:tc>
          <w:tcPr>
            <w:tcW w:w="2105"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东门村站</w:t>
            </w:r>
          </w:p>
        </w:tc>
        <w:tc>
          <w:tcPr>
            <w:tcW w:w="1519" w:type="pct"/>
            <w:vAlign w:val="center"/>
          </w:tcPr>
          <w:p>
            <w:pPr>
              <w:spacing w:line="400" w:lineRule="exact"/>
              <w:jc w:val="center"/>
              <w:rPr>
                <w:rFonts w:ascii="Times New Roman" w:hAnsi="Times New Roman"/>
                <w:szCs w:val="21"/>
              </w:rPr>
            </w:pPr>
            <w:r>
              <w:rPr>
                <w:rFonts w:hint="eastAsia" w:ascii="Times New Roman" w:hAnsi="Times New Roman" w:eastAsia="仿宋_GB2312"/>
                <w:szCs w:val="21"/>
              </w:rPr>
              <w:t>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cs="宋体"/>
                <w:kern w:val="0"/>
                <w:szCs w:val="21"/>
              </w:rPr>
              <w:t>赤壁市</w:t>
            </w:r>
          </w:p>
        </w:tc>
        <w:tc>
          <w:tcPr>
            <w:tcW w:w="2105"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陆水湖大道站</w:t>
            </w:r>
          </w:p>
        </w:tc>
        <w:tc>
          <w:tcPr>
            <w:tcW w:w="151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嘉鱼县</w:t>
            </w:r>
          </w:p>
        </w:tc>
        <w:tc>
          <w:tcPr>
            <w:tcW w:w="2105"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滨湖路站</w:t>
            </w:r>
          </w:p>
        </w:tc>
        <w:tc>
          <w:tcPr>
            <w:tcW w:w="151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通城县</w:t>
            </w:r>
          </w:p>
        </w:tc>
        <w:tc>
          <w:tcPr>
            <w:tcW w:w="2105"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银山广场站</w:t>
            </w:r>
          </w:p>
        </w:tc>
        <w:tc>
          <w:tcPr>
            <w:tcW w:w="151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崇阳县</w:t>
            </w:r>
          </w:p>
        </w:tc>
        <w:tc>
          <w:tcPr>
            <w:tcW w:w="2105"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大觉路站</w:t>
            </w:r>
          </w:p>
        </w:tc>
        <w:tc>
          <w:tcPr>
            <w:tcW w:w="151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4"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通山县</w:t>
            </w:r>
          </w:p>
        </w:tc>
        <w:tc>
          <w:tcPr>
            <w:tcW w:w="2105"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隆鼎丽都站</w:t>
            </w:r>
          </w:p>
        </w:tc>
        <w:tc>
          <w:tcPr>
            <w:tcW w:w="151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省控</w:t>
            </w:r>
          </w:p>
        </w:tc>
      </w:tr>
    </w:tbl>
    <w:p>
      <w:pPr>
        <w:topLinePunct/>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2.工作内容</w:t>
      </w:r>
    </w:p>
    <w:p>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市生态环境局生态科或站点所在地分局分别负责辖区内国控、省控空气站的站房用地、站房建设或租赁、安全保障、电力供应、网络通讯和出入站房等日常运行所必需的基础条件保障工作(其中：市发改委站</w:t>
      </w:r>
      <w:r>
        <w:rPr>
          <w:rFonts w:hint="eastAsia" w:ascii="仿宋_GB2312" w:hAnsi="仿宋_GB2312" w:eastAsia="仿宋_GB2312" w:cs="仿宋_GB2312"/>
          <w:sz w:val="28"/>
          <w:szCs w:val="28"/>
          <w:lang w:eastAsia="zh-CN"/>
        </w:rPr>
        <w:t>、咸宁市超级站</w:t>
      </w:r>
      <w:r>
        <w:rPr>
          <w:rFonts w:hint="eastAsia" w:ascii="仿宋_GB2312" w:hAnsi="仿宋_GB2312" w:eastAsia="仿宋_GB2312" w:cs="仿宋_GB2312"/>
          <w:sz w:val="28"/>
          <w:szCs w:val="28"/>
        </w:rPr>
        <w:t>和森林公园站由市局生态科负责、咸安区政府站</w:t>
      </w:r>
      <w:r>
        <w:rPr>
          <w:rFonts w:hint="eastAsia" w:ascii="仿宋_GB2312" w:hAnsi="仿宋_GB2312" w:eastAsia="仿宋_GB2312" w:cs="仿宋_GB2312"/>
          <w:sz w:val="28"/>
          <w:szCs w:val="28"/>
          <w:lang w:eastAsia="zh-CN"/>
        </w:rPr>
        <w:t>、凤凰工业园站</w:t>
      </w:r>
      <w:r>
        <w:rPr>
          <w:rFonts w:hint="eastAsia" w:ascii="仿宋_GB2312" w:hAnsi="仿宋_GB2312" w:eastAsia="仿宋_GB2312" w:cs="仿宋_GB2312"/>
          <w:sz w:val="28"/>
          <w:szCs w:val="28"/>
        </w:rPr>
        <w:t>和东门村站由咸安区分局负责、长江产业园站由高新区分局负责)。</w:t>
      </w:r>
    </w:p>
    <w:p>
      <w:pPr>
        <w:pStyle w:val="4"/>
        <w:ind w:firstLine="600"/>
        <w:rPr>
          <w:sz w:val="30"/>
          <w:szCs w:val="30"/>
        </w:rPr>
      </w:pPr>
      <w:bookmarkStart w:id="6" w:name="_Toc62822057"/>
      <w:bookmarkStart w:id="7" w:name="_Toc27997567"/>
      <w:bookmarkStart w:id="8" w:name="_Toc1999164"/>
      <w:bookmarkStart w:id="9" w:name="_Toc38465021"/>
      <w:bookmarkStart w:id="10" w:name="_Toc58838261"/>
      <w:bookmarkStart w:id="11" w:name="_Toc32282"/>
      <w:r>
        <w:rPr>
          <w:rFonts w:hint="eastAsia"/>
          <w:sz w:val="30"/>
          <w:szCs w:val="30"/>
        </w:rPr>
        <w:t>（二）酸雨监测</w:t>
      </w:r>
      <w:bookmarkEnd w:id="6"/>
      <w:bookmarkEnd w:id="7"/>
      <w:bookmarkEnd w:id="8"/>
      <w:bookmarkEnd w:id="9"/>
      <w:bookmarkEnd w:id="10"/>
      <w:bookmarkEnd w:id="11"/>
    </w:p>
    <w:p>
      <w:pPr>
        <w:topLinePunct/>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1.监测点位</w:t>
      </w:r>
    </w:p>
    <w:p>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全市现有地方监测事权降雨监测点位6个，具体见下表2。</w:t>
      </w:r>
    </w:p>
    <w:p>
      <w:pPr>
        <w:topLinePunct/>
        <w:adjustRightInd w:val="0"/>
        <w:snapToGrid w:val="0"/>
        <w:spacing w:line="560" w:lineRule="exact"/>
        <w:jc w:val="center"/>
        <w:rPr>
          <w:rFonts w:ascii="Times New Roman" w:hAnsi="Times New Roman" w:eastAsia="黑体" w:cs="Times New Roman"/>
          <w:sz w:val="28"/>
          <w:szCs w:val="28"/>
        </w:rPr>
      </w:pPr>
      <w:r>
        <w:rPr>
          <w:rFonts w:hint="eastAsia" w:ascii="黑体" w:hAnsi="黑体" w:eastAsia="黑体" w:cs="黑体"/>
          <w:sz w:val="24"/>
          <w:szCs w:val="24"/>
        </w:rPr>
        <w:t>表2 降水监测站与测点表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3923"/>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9"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所在区域</w:t>
            </w:r>
          </w:p>
        </w:tc>
        <w:tc>
          <w:tcPr>
            <w:tcW w:w="2220"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测点位置</w:t>
            </w:r>
          </w:p>
        </w:tc>
        <w:tc>
          <w:tcPr>
            <w:tcW w:w="1390"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崇阳县</w:t>
            </w:r>
          </w:p>
        </w:tc>
        <w:tc>
          <w:tcPr>
            <w:tcW w:w="222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崇阳县分局楼顶</w:t>
            </w:r>
          </w:p>
        </w:tc>
        <w:tc>
          <w:tcPr>
            <w:tcW w:w="139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省控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通山县</w:t>
            </w:r>
          </w:p>
        </w:tc>
        <w:tc>
          <w:tcPr>
            <w:tcW w:w="222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通山县分局楼顶</w:t>
            </w:r>
          </w:p>
        </w:tc>
        <w:tc>
          <w:tcPr>
            <w:tcW w:w="139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市控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赤壁市</w:t>
            </w:r>
          </w:p>
        </w:tc>
        <w:tc>
          <w:tcPr>
            <w:tcW w:w="222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赤壁市分局楼顶</w:t>
            </w:r>
          </w:p>
        </w:tc>
        <w:tc>
          <w:tcPr>
            <w:tcW w:w="139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市控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嘉鱼县</w:t>
            </w:r>
          </w:p>
        </w:tc>
        <w:tc>
          <w:tcPr>
            <w:tcW w:w="222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嘉鱼县分局楼顶</w:t>
            </w:r>
          </w:p>
        </w:tc>
        <w:tc>
          <w:tcPr>
            <w:tcW w:w="139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市控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通城县</w:t>
            </w:r>
          </w:p>
        </w:tc>
        <w:tc>
          <w:tcPr>
            <w:tcW w:w="222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通城县分局楼顶</w:t>
            </w:r>
          </w:p>
        </w:tc>
        <w:tc>
          <w:tcPr>
            <w:tcW w:w="139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市控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9"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咸安区</w:t>
            </w:r>
          </w:p>
        </w:tc>
        <w:tc>
          <w:tcPr>
            <w:tcW w:w="222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咸安区分局楼顶</w:t>
            </w:r>
          </w:p>
        </w:tc>
        <w:tc>
          <w:tcPr>
            <w:tcW w:w="1390" w:type="pct"/>
            <w:vAlign w:val="center"/>
          </w:tcPr>
          <w:p>
            <w:pPr>
              <w:spacing w:line="400" w:lineRule="exact"/>
              <w:jc w:val="center"/>
              <w:rPr>
                <w:rFonts w:ascii="Times New Roman" w:hAnsi="Times New Roman" w:eastAsia="仿宋_GB2312"/>
                <w:szCs w:val="21"/>
              </w:rPr>
            </w:pPr>
            <w:r>
              <w:rPr>
                <w:rFonts w:hint="eastAsia" w:ascii="Times New Roman" w:hAnsi="Times New Roman" w:eastAsia="仿宋_GB2312"/>
                <w:szCs w:val="21"/>
              </w:rPr>
              <w:t>市控</w:t>
            </w:r>
          </w:p>
        </w:tc>
      </w:tr>
    </w:tbl>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2.监测项目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包括必测项目和选测项目。必测项目为降雨量、pH、硫酸根、硝酸根；选测项目为电导率、氟、氯、铵、钙、镁、钠、钾。</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省控点位必测项目和选测项目逢雨必测。市控点位必测项目逢雨必测，选测项目尽可能监测。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3.监测时间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降雨（雪）时，每24小时采样一次，当日上午9:00至次日上午9:00为一个采样周期。</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4.质量保证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按照《酸沉降监测技术规范》（HJ/T165－2004）有关要求执行。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5.监测数据报送时间</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省控点位由崇阳县分局负责开展监测，每月5日前向咸宁生态环境监测中心报送上月监测数据；市控点位由监测点所在地分局负责开展监测，每月5日前向市生态环境局生态科报送上月监测数据。</w:t>
      </w:r>
      <w:bookmarkStart w:id="12" w:name="_Toc27997568"/>
      <w:bookmarkStart w:id="13" w:name="_Toc38465022"/>
      <w:bookmarkStart w:id="14" w:name="_Toc58838262"/>
    </w:p>
    <w:p>
      <w:pPr>
        <w:pStyle w:val="4"/>
        <w:ind w:firstLine="600"/>
        <w:rPr>
          <w:sz w:val="30"/>
          <w:szCs w:val="30"/>
        </w:rPr>
      </w:pPr>
      <w:bookmarkStart w:id="15" w:name="_Toc62822058"/>
      <w:bookmarkStart w:id="16" w:name="_Toc20548"/>
      <w:r>
        <w:rPr>
          <w:rFonts w:hint="eastAsia"/>
          <w:sz w:val="30"/>
          <w:szCs w:val="30"/>
        </w:rPr>
        <w:t>（三）大气颗粒物组分网手工监测</w:t>
      </w:r>
      <w:bookmarkEnd w:id="12"/>
      <w:bookmarkEnd w:id="13"/>
      <w:bookmarkEnd w:id="14"/>
      <w:bookmarkEnd w:id="15"/>
      <w:bookmarkEnd w:id="16"/>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1.监测点位</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咸宁市生态环境局楼顶。</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2.监测项目</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必测项目：PM</w:t>
      </w:r>
      <w:r>
        <w:rPr>
          <w:rFonts w:hint="eastAsia" w:ascii="仿宋_GB2312" w:hAnsi="仿宋_GB2312" w:eastAsia="仿宋_GB2312" w:cs="仿宋_GB2312"/>
          <w:sz w:val="28"/>
          <w:szCs w:val="28"/>
          <w:vertAlign w:val="subscript"/>
        </w:rPr>
        <w:t>2.5</w:t>
      </w:r>
      <w:r>
        <w:rPr>
          <w:rFonts w:hint="eastAsia" w:ascii="仿宋_GB2312" w:hAnsi="仿宋_GB2312" w:eastAsia="仿宋_GB2312" w:cs="仿宋_GB2312"/>
          <w:sz w:val="28"/>
          <w:szCs w:val="28"/>
        </w:rPr>
        <w:t>质量浓度、水溶性无机离子、无机元素、碳组分，选测项目为有机物组分，具体监测项目详见下表3。</w:t>
      </w:r>
    </w:p>
    <w:p>
      <w:pPr>
        <w:autoSpaceDE w:val="0"/>
        <w:autoSpaceDN w:val="0"/>
        <w:adjustRightInd w:val="0"/>
        <w:spacing w:line="5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4"/>
          <w:szCs w:val="24"/>
        </w:rPr>
        <w:t>表3 颗粒物组分手工监测项目</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442"/>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vAlign w:val="center"/>
          </w:tcPr>
          <w:p>
            <w:pPr>
              <w:snapToGri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类型</w:t>
            </w:r>
          </w:p>
        </w:tc>
        <w:tc>
          <w:tcPr>
            <w:tcW w:w="816" w:type="pct"/>
            <w:vAlign w:val="center"/>
          </w:tcPr>
          <w:p>
            <w:pPr>
              <w:snapToGri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组分类别</w:t>
            </w:r>
          </w:p>
        </w:tc>
        <w:tc>
          <w:tcPr>
            <w:tcW w:w="3605" w:type="pct"/>
            <w:vAlign w:val="center"/>
          </w:tcPr>
          <w:p>
            <w:pPr>
              <w:snapToGri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具体项目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vMerge w:val="restart"/>
            <w:vAlign w:val="center"/>
          </w:tcPr>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必测</w:t>
            </w:r>
          </w:p>
        </w:tc>
        <w:tc>
          <w:tcPr>
            <w:tcW w:w="816" w:type="pct"/>
            <w:vAlign w:val="center"/>
          </w:tcPr>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PM</w:t>
            </w:r>
            <w:r>
              <w:rPr>
                <w:rFonts w:hint="eastAsia" w:ascii="仿宋_GB2312" w:hAnsi="仿宋_GB2312" w:eastAsia="仿宋_GB2312" w:cs="仿宋_GB2312"/>
                <w:kern w:val="0"/>
                <w:szCs w:val="21"/>
                <w:vertAlign w:val="subscript"/>
              </w:rPr>
              <w:t>2.5</w:t>
            </w:r>
            <w:r>
              <w:rPr>
                <w:rFonts w:hint="eastAsia" w:ascii="仿宋_GB2312" w:hAnsi="仿宋_GB2312" w:eastAsia="仿宋_GB2312" w:cs="仿宋_GB2312"/>
                <w:kern w:val="0"/>
                <w:szCs w:val="21"/>
              </w:rPr>
              <w:t>质量</w:t>
            </w:r>
          </w:p>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浓度</w:t>
            </w:r>
          </w:p>
        </w:tc>
        <w:tc>
          <w:tcPr>
            <w:tcW w:w="3605" w:type="pct"/>
            <w:vAlign w:val="center"/>
          </w:tcPr>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PM</w:t>
            </w:r>
            <w:r>
              <w:rPr>
                <w:rFonts w:hint="eastAsia" w:ascii="仿宋_GB2312" w:hAnsi="仿宋_GB2312" w:eastAsia="仿宋_GB2312" w:cs="仿宋_GB2312"/>
                <w:kern w:val="0"/>
                <w:szCs w:val="21"/>
                <w:vertAlign w:val="subscript"/>
              </w:rPr>
              <w:t>2.5</w:t>
            </w:r>
            <w:r>
              <w:rPr>
                <w:rFonts w:hint="eastAsia" w:ascii="仿宋_GB2312" w:hAnsi="仿宋_GB2312" w:eastAsia="仿宋_GB2312" w:cs="仿宋_GB2312"/>
                <w:kern w:val="0"/>
                <w:szCs w:val="21"/>
              </w:rPr>
              <w:t>质量浓度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vMerge w:val="continue"/>
            <w:vAlign w:val="center"/>
          </w:tcPr>
          <w:p>
            <w:pPr>
              <w:spacing w:line="400" w:lineRule="exact"/>
              <w:rPr>
                <w:rFonts w:ascii="仿宋_GB2312" w:hAnsi="仿宋_GB2312" w:eastAsia="仿宋_GB2312" w:cs="仿宋_GB2312"/>
                <w:szCs w:val="21"/>
              </w:rPr>
            </w:pPr>
          </w:p>
        </w:tc>
        <w:tc>
          <w:tcPr>
            <w:tcW w:w="816" w:type="pct"/>
            <w:vAlign w:val="center"/>
          </w:tcPr>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水溶性</w:t>
            </w:r>
          </w:p>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无机离子</w:t>
            </w:r>
          </w:p>
        </w:tc>
        <w:tc>
          <w:tcPr>
            <w:tcW w:w="3605" w:type="pct"/>
            <w:vAlign w:val="center"/>
          </w:tcPr>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硫酸根离子（SO</w:t>
            </w:r>
            <w:r>
              <w:rPr>
                <w:rFonts w:hint="eastAsia" w:ascii="仿宋_GB2312" w:hAnsi="仿宋_GB2312" w:eastAsia="仿宋_GB2312" w:cs="仿宋_GB2312"/>
                <w:color w:val="000000"/>
                <w:kern w:val="0"/>
                <w:szCs w:val="21"/>
                <w:vertAlign w:val="subscript"/>
              </w:rPr>
              <w:t>4</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）、硝酸根离子（NO</w:t>
            </w:r>
            <w:r>
              <w:rPr>
                <w:rFonts w:hint="eastAsia" w:ascii="仿宋_GB2312" w:hAnsi="仿宋_GB2312" w:eastAsia="仿宋_GB2312" w:cs="仿宋_GB2312"/>
                <w:color w:val="000000"/>
                <w:kern w:val="0"/>
                <w:szCs w:val="21"/>
                <w:vertAlign w:val="subscript"/>
              </w:rPr>
              <w:t>3</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）、氟离子（F</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）、氯离子（Cl</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）、钠离子（Na</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）、铵根离子（NH</w:t>
            </w:r>
            <w:r>
              <w:rPr>
                <w:rFonts w:hint="eastAsia" w:ascii="仿宋_GB2312" w:hAnsi="仿宋_GB2312" w:eastAsia="仿宋_GB2312" w:cs="仿宋_GB2312"/>
                <w:color w:val="000000"/>
                <w:kern w:val="0"/>
                <w:szCs w:val="21"/>
                <w:vertAlign w:val="subscript"/>
              </w:rPr>
              <w:t>4</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）、钾离子（K</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）、镁离子（Mg</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）、钙离子（Ca</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）等9种离子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vMerge w:val="continue"/>
            <w:vAlign w:val="center"/>
          </w:tcPr>
          <w:p>
            <w:pPr>
              <w:spacing w:line="400" w:lineRule="exact"/>
              <w:rPr>
                <w:rFonts w:ascii="仿宋_GB2312" w:hAnsi="仿宋_GB2312" w:eastAsia="仿宋_GB2312" w:cs="仿宋_GB2312"/>
                <w:szCs w:val="21"/>
              </w:rPr>
            </w:pPr>
          </w:p>
        </w:tc>
        <w:tc>
          <w:tcPr>
            <w:tcW w:w="816" w:type="pct"/>
            <w:vAlign w:val="center"/>
          </w:tcPr>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无机元素</w:t>
            </w:r>
          </w:p>
        </w:tc>
        <w:tc>
          <w:tcPr>
            <w:tcW w:w="3605"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钒（V）、铁（Fe）、锌（Zn）、镉（Cd）、铬（Cr）、钴（Co）、砷（As）、铝（Al）、锡（Sn）、锰（Mn）、镍（Ni）、硒（Se）、硅（Si）、钛（Ti）、钡（Ba）、铜（Cu）、铅（Pb）、钙（Ca）、镁（Mg）、钠（Na）、硫（S）、氯（Cl）、钾（K）、锑（Sb）等24种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vMerge w:val="continue"/>
            <w:vAlign w:val="center"/>
          </w:tcPr>
          <w:p>
            <w:pPr>
              <w:spacing w:line="400" w:lineRule="exact"/>
              <w:rPr>
                <w:rFonts w:ascii="仿宋_GB2312" w:hAnsi="仿宋_GB2312" w:eastAsia="仿宋_GB2312" w:cs="仿宋_GB2312"/>
                <w:szCs w:val="21"/>
              </w:rPr>
            </w:pPr>
          </w:p>
        </w:tc>
        <w:tc>
          <w:tcPr>
            <w:tcW w:w="816" w:type="pct"/>
            <w:vAlign w:val="center"/>
          </w:tcPr>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碳组分</w:t>
            </w:r>
          </w:p>
        </w:tc>
        <w:tc>
          <w:tcPr>
            <w:tcW w:w="3605"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元素碳（EC）、有机碳（OC）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pct"/>
            <w:vAlign w:val="center"/>
          </w:tcPr>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选测</w:t>
            </w:r>
          </w:p>
        </w:tc>
        <w:tc>
          <w:tcPr>
            <w:tcW w:w="816" w:type="pct"/>
            <w:vAlign w:val="center"/>
          </w:tcPr>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有机物</w:t>
            </w:r>
          </w:p>
          <w:p>
            <w:pPr>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组分</w:t>
            </w:r>
          </w:p>
        </w:tc>
        <w:tc>
          <w:tcPr>
            <w:tcW w:w="3605"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可溶性有机碳及二元羧酸、多环芳烃、正构烷烃、左旋葡聚糖等有机化合物</w:t>
            </w:r>
          </w:p>
        </w:tc>
      </w:tr>
    </w:tbl>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手工监测分析测试方法选用国家或行业标准方法，具体要求详见下表4。</w:t>
      </w:r>
    </w:p>
    <w:p>
      <w:pPr>
        <w:autoSpaceDE w:val="0"/>
        <w:autoSpaceDN w:val="0"/>
        <w:adjustRightInd w:val="0"/>
        <w:spacing w:line="56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表4 分析测试方法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629"/>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21" w:type="pct"/>
            <w:vAlign w:val="center"/>
          </w:tcPr>
          <w:p>
            <w:pPr>
              <w:autoSpaceDE w:val="0"/>
              <w:autoSpaceDN w:val="0"/>
              <w:adjustRightInd w:val="0"/>
              <w:spacing w:line="4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分析项目</w:t>
            </w:r>
          </w:p>
        </w:tc>
        <w:tc>
          <w:tcPr>
            <w:tcW w:w="922" w:type="pct"/>
            <w:vAlign w:val="center"/>
          </w:tcPr>
          <w:p>
            <w:pPr>
              <w:autoSpaceDE w:val="0"/>
              <w:autoSpaceDN w:val="0"/>
              <w:adjustRightInd w:val="0"/>
              <w:spacing w:line="4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方法</w:t>
            </w:r>
          </w:p>
        </w:tc>
        <w:tc>
          <w:tcPr>
            <w:tcW w:w="3356" w:type="pct"/>
            <w:vAlign w:val="center"/>
          </w:tcPr>
          <w:p>
            <w:pPr>
              <w:autoSpaceDE w:val="0"/>
              <w:autoSpaceDN w:val="0"/>
              <w:adjustRightInd w:val="0"/>
              <w:spacing w:line="4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方法依据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PM</w:t>
            </w:r>
            <w:r>
              <w:rPr>
                <w:rFonts w:hint="eastAsia" w:ascii="仿宋_GB2312" w:hAnsi="仿宋_GB2312" w:eastAsia="仿宋_GB2312" w:cs="仿宋_GB2312"/>
                <w:color w:val="000000"/>
                <w:kern w:val="0"/>
                <w:szCs w:val="21"/>
                <w:vertAlign w:val="subscript"/>
              </w:rPr>
              <w:t>2.5</w:t>
            </w:r>
            <w:r>
              <w:rPr>
                <w:rFonts w:hint="eastAsia" w:ascii="仿宋_GB2312" w:hAnsi="仿宋_GB2312" w:eastAsia="仿宋_GB2312" w:cs="仿宋_GB2312"/>
                <w:color w:val="000000"/>
                <w:kern w:val="0"/>
                <w:szCs w:val="21"/>
              </w:rPr>
              <w:t>质量</w:t>
            </w:r>
          </w:p>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浓度</w:t>
            </w:r>
          </w:p>
        </w:tc>
        <w:tc>
          <w:tcPr>
            <w:tcW w:w="922"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重量法</w:t>
            </w:r>
          </w:p>
        </w:tc>
        <w:tc>
          <w:tcPr>
            <w:tcW w:w="3356"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《环境空气PM</w:t>
            </w:r>
            <w:r>
              <w:rPr>
                <w:rFonts w:hint="eastAsia" w:ascii="仿宋_GB2312" w:hAnsi="仿宋_GB2312" w:eastAsia="仿宋_GB2312" w:cs="仿宋_GB2312"/>
                <w:color w:val="000000"/>
                <w:kern w:val="0"/>
                <w:szCs w:val="21"/>
                <w:vertAlign w:val="subscript"/>
              </w:rPr>
              <w:t>10</w:t>
            </w:r>
            <w:r>
              <w:rPr>
                <w:rFonts w:hint="eastAsia" w:ascii="仿宋_GB2312" w:hAnsi="仿宋_GB2312" w:eastAsia="仿宋_GB2312" w:cs="仿宋_GB2312"/>
                <w:color w:val="000000"/>
                <w:kern w:val="0"/>
                <w:szCs w:val="21"/>
              </w:rPr>
              <w:t>和PM</w:t>
            </w:r>
            <w:r>
              <w:rPr>
                <w:rFonts w:hint="eastAsia" w:ascii="仿宋_GB2312" w:hAnsi="仿宋_GB2312" w:eastAsia="仿宋_GB2312" w:cs="仿宋_GB2312"/>
                <w:color w:val="000000"/>
                <w:kern w:val="0"/>
                <w:szCs w:val="21"/>
                <w:vertAlign w:val="subscript"/>
              </w:rPr>
              <w:t>2.5</w:t>
            </w:r>
            <w:r>
              <w:rPr>
                <w:rFonts w:hint="eastAsia" w:ascii="仿宋_GB2312" w:hAnsi="仿宋_GB2312" w:eastAsia="仿宋_GB2312" w:cs="仿宋_GB2312"/>
                <w:color w:val="000000"/>
                <w:kern w:val="0"/>
                <w:szCs w:val="21"/>
              </w:rPr>
              <w:t>的测定重量法》（HJ618-2011）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无机阳</w:t>
            </w:r>
          </w:p>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离子</w:t>
            </w:r>
          </w:p>
        </w:tc>
        <w:tc>
          <w:tcPr>
            <w:tcW w:w="922"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离子色谱法</w:t>
            </w:r>
          </w:p>
        </w:tc>
        <w:tc>
          <w:tcPr>
            <w:tcW w:w="3356"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《环境空气颗粒物中水溶性阳离子（Li</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、Na</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、NH</w:t>
            </w:r>
            <w:r>
              <w:rPr>
                <w:rFonts w:hint="eastAsia" w:ascii="仿宋_GB2312" w:hAnsi="仿宋_GB2312" w:eastAsia="仿宋_GB2312" w:cs="仿宋_GB2312"/>
                <w:color w:val="000000"/>
                <w:kern w:val="0"/>
                <w:szCs w:val="21"/>
                <w:vertAlign w:val="subscript"/>
              </w:rPr>
              <w:t>4</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、K</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、Ca</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、Mg</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）的测定离子色谱法》（HJ 800-2016）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无机阴</w:t>
            </w:r>
          </w:p>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离子</w:t>
            </w:r>
          </w:p>
        </w:tc>
        <w:tc>
          <w:tcPr>
            <w:tcW w:w="922"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离子色谱法</w:t>
            </w:r>
          </w:p>
        </w:tc>
        <w:tc>
          <w:tcPr>
            <w:tcW w:w="3356"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《环境空气颗粒物中水溶性阴离子（F</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、Cl</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、Br</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、NO</w:t>
            </w:r>
            <w:r>
              <w:rPr>
                <w:rFonts w:hint="eastAsia" w:ascii="仿宋_GB2312" w:hAnsi="仿宋_GB2312" w:eastAsia="仿宋_GB2312" w:cs="仿宋_GB2312"/>
                <w:color w:val="000000"/>
                <w:kern w:val="0"/>
                <w:szCs w:val="21"/>
                <w:vertAlign w:val="subscript"/>
              </w:rPr>
              <w:t>2</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、NO</w:t>
            </w:r>
            <w:r>
              <w:rPr>
                <w:rFonts w:hint="eastAsia" w:ascii="仿宋_GB2312" w:hAnsi="仿宋_GB2312" w:eastAsia="仿宋_GB2312" w:cs="仿宋_GB2312"/>
                <w:color w:val="000000"/>
                <w:kern w:val="0"/>
                <w:szCs w:val="21"/>
                <w:vertAlign w:val="subscript"/>
              </w:rPr>
              <w:t>3</w:t>
            </w:r>
            <w:r>
              <w:rPr>
                <w:rFonts w:hint="eastAsia" w:ascii="仿宋_GB2312" w:hAnsi="仿宋_GB2312" w:eastAsia="仿宋_GB2312" w:cs="仿宋_GB2312"/>
                <w:color w:val="000000"/>
                <w:kern w:val="0"/>
                <w:szCs w:val="21"/>
                <w:vertAlign w:val="superscript"/>
              </w:rPr>
              <w:t>-</w:t>
            </w:r>
            <w:r>
              <w:rPr>
                <w:rFonts w:hint="eastAsia" w:ascii="仿宋_GB2312" w:hAnsi="仿宋_GB2312" w:eastAsia="仿宋_GB2312" w:cs="仿宋_GB2312"/>
                <w:color w:val="000000"/>
                <w:kern w:val="0"/>
                <w:szCs w:val="21"/>
              </w:rPr>
              <w:t>、PO</w:t>
            </w:r>
            <w:r>
              <w:rPr>
                <w:rFonts w:hint="eastAsia" w:ascii="仿宋_GB2312" w:hAnsi="仿宋_GB2312" w:eastAsia="仿宋_GB2312" w:cs="仿宋_GB2312"/>
                <w:color w:val="000000"/>
                <w:kern w:val="0"/>
                <w:szCs w:val="21"/>
                <w:vertAlign w:val="subscript"/>
              </w:rPr>
              <w:t>4</w:t>
            </w:r>
            <w:r>
              <w:rPr>
                <w:rFonts w:hint="eastAsia" w:ascii="仿宋_GB2312" w:hAnsi="仿宋_GB2312" w:eastAsia="仿宋_GB2312" w:cs="仿宋_GB2312"/>
                <w:color w:val="000000"/>
                <w:kern w:val="0"/>
                <w:szCs w:val="21"/>
                <w:vertAlign w:val="superscript"/>
              </w:rPr>
              <w:t>3-</w:t>
            </w:r>
            <w:r>
              <w:rPr>
                <w:rFonts w:hint="eastAsia" w:ascii="仿宋_GB2312" w:hAnsi="仿宋_GB2312" w:eastAsia="仿宋_GB2312" w:cs="仿宋_GB2312"/>
                <w:color w:val="000000"/>
                <w:kern w:val="0"/>
                <w:szCs w:val="21"/>
              </w:rPr>
              <w:t>、SO</w:t>
            </w:r>
            <w:r>
              <w:rPr>
                <w:rFonts w:hint="eastAsia" w:ascii="仿宋_GB2312" w:hAnsi="仿宋_GB2312" w:eastAsia="仿宋_GB2312" w:cs="仿宋_GB2312"/>
                <w:color w:val="000000"/>
                <w:kern w:val="0"/>
                <w:szCs w:val="21"/>
                <w:vertAlign w:val="subscript"/>
              </w:rPr>
              <w:t>3</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、SO</w:t>
            </w:r>
            <w:r>
              <w:rPr>
                <w:rFonts w:hint="eastAsia" w:ascii="仿宋_GB2312" w:hAnsi="仿宋_GB2312" w:eastAsia="仿宋_GB2312" w:cs="仿宋_GB2312"/>
                <w:color w:val="000000"/>
                <w:kern w:val="0"/>
                <w:szCs w:val="21"/>
                <w:vertAlign w:val="subscript"/>
              </w:rPr>
              <w:t>4</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）的测定离子色谱法》（HJ 799-2016）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碳组分</w:t>
            </w:r>
          </w:p>
        </w:tc>
        <w:tc>
          <w:tcPr>
            <w:tcW w:w="922"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热光法</w:t>
            </w:r>
          </w:p>
        </w:tc>
        <w:tc>
          <w:tcPr>
            <w:tcW w:w="3356"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《环境空气颗粒物源解析监测技术方法指南（试行）》（第二版）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无机元素</w:t>
            </w:r>
          </w:p>
        </w:tc>
        <w:tc>
          <w:tcPr>
            <w:tcW w:w="922"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XRF法、ICP法、ICP-MS法</w:t>
            </w:r>
          </w:p>
        </w:tc>
        <w:tc>
          <w:tcPr>
            <w:tcW w:w="3356"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《环境空气颗粒物中无机元素的测定波长色散X射线荧光光谱法》（HJ 830-2017）、《环境空气颗粒物中无机元素的测定能量色散X射线荧光光谱法》（HJ 829-2017）、《空气和废气颗粒物中金属元素的测定电感耦合等离子体发射光谱法》（HJ 777-2015）、《空气和废气颗粒物中铅等金属元素的测定电感耦合等离子体质谱法》（HJ 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有机物</w:t>
            </w:r>
          </w:p>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组分</w:t>
            </w:r>
          </w:p>
        </w:tc>
        <w:tc>
          <w:tcPr>
            <w:tcW w:w="922"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液相色谱法、气相色谱-质谱法等</w:t>
            </w:r>
          </w:p>
        </w:tc>
        <w:tc>
          <w:tcPr>
            <w:tcW w:w="3356" w:type="pct"/>
            <w:vAlign w:val="center"/>
          </w:tcPr>
          <w:p>
            <w:pPr>
              <w:autoSpaceDE w:val="0"/>
              <w:autoSpaceDN w:val="0"/>
              <w:adjustRightInd w:val="0"/>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《环境空气颗粒物源解析监测技术方法指南（试行）》（第二版）等</w:t>
            </w:r>
          </w:p>
        </w:tc>
      </w:tr>
    </w:tbl>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3.监测频次</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从2023年1月1日开始，1月、2月、3月、10月、11月和12月监测频次为1次/天，4-9月监测频次为1次/3天。如遇以PM</w:t>
      </w:r>
      <w:r>
        <w:rPr>
          <w:rFonts w:hint="eastAsia" w:ascii="仿宋_GB2312" w:hAnsi="仿宋_GB2312" w:eastAsia="仿宋_GB2312" w:cs="仿宋_GB2312"/>
          <w:sz w:val="28"/>
          <w:szCs w:val="28"/>
          <w:vertAlign w:val="subscript"/>
        </w:rPr>
        <w:t>2.5</w:t>
      </w:r>
      <w:r>
        <w:rPr>
          <w:rFonts w:hint="eastAsia" w:ascii="仿宋_GB2312" w:hAnsi="仿宋_GB2312" w:eastAsia="仿宋_GB2312" w:cs="仿宋_GB2312"/>
          <w:sz w:val="28"/>
          <w:szCs w:val="28"/>
        </w:rPr>
        <w:t>为首要污染物的空气重污染过程，以预报为准，可能发生重污染的城市须开展加密监测，频次为1次/天。</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样品采集要求：使用小流量大气颗粒物采样器（1台4通道或4台单通道小流量采样器）采集PM</w:t>
      </w:r>
      <w:r>
        <w:rPr>
          <w:rFonts w:hint="eastAsia" w:ascii="仿宋_GB2312" w:hAnsi="仿宋_GB2312" w:eastAsia="仿宋_GB2312" w:cs="仿宋_GB2312"/>
          <w:sz w:val="28"/>
          <w:szCs w:val="28"/>
          <w:vertAlign w:val="subscript"/>
        </w:rPr>
        <w:t>2.5</w:t>
      </w:r>
      <w:r>
        <w:rPr>
          <w:rFonts w:hint="eastAsia" w:ascii="仿宋_GB2312" w:hAnsi="仿宋_GB2312" w:eastAsia="仿宋_GB2312" w:cs="仿宋_GB2312"/>
          <w:sz w:val="28"/>
          <w:szCs w:val="28"/>
        </w:rPr>
        <w:t>样品，采样流量16.7L/min，采样时长为23h（当日9:00到次日8:00），采集4个平行样品（其中2个为石英滤膜样品，2个为有机滤膜样品）。</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样滤膜要求如下：采样前，经抽查滤膜空白值低于组分测试方法检出限后方可使用。石英滤膜，直径47mm，可用于水溶性无机离子组分、碳组分、有机物组分的测试，滤膜的物理特征需满足采样所需要的前处理温度及强度的要求，可实现冷藏、密封保存和转运。有机滤膜，直径47mm，可用于水溶性无机离子组分、无机元素的测试，滤膜满足采样及测试中所需要的物理和化学标准，可实现冷藏、密封保存和转运。</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4.数据报送</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市生态环境局生态科负责组织开展监测，于每月18日前向省监测中心站报送上月监测数据，每月21日前报送上月监测月报。重污染或重大活动保障期间，按具体的时间要求进行数据报送。</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5.质量保证与质量控制</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市生态环境局生态科负责监测活动的质量保证与质量控制工作，按照《大气颗粒物组分手工监测质量保证与质量控制规定（第一版）》（总站气字〔2019〕425号）的要求执行。</w:t>
      </w:r>
      <w:bookmarkStart w:id="17" w:name="_Hlk58174750"/>
      <w:bookmarkStart w:id="18" w:name="_Toc58838263"/>
      <w:bookmarkStart w:id="19" w:name="_Toc38465023"/>
      <w:bookmarkStart w:id="20" w:name="_Toc27997569"/>
      <w:r>
        <w:rPr>
          <w:rFonts w:hint="eastAsia" w:ascii="仿宋_GB2312" w:hAnsi="仿宋_GB2312" w:eastAsia="仿宋_GB2312" w:cs="仿宋_GB2312"/>
          <w:sz w:val="28"/>
          <w:szCs w:val="28"/>
        </w:rPr>
        <w:t>省监测中心站组织驻地方监测中心开展质控监督检查，对采样和分析测试等环节进行不定期质控检查。</w:t>
      </w:r>
    </w:p>
    <w:bookmarkEnd w:id="17"/>
    <w:bookmarkEnd w:id="18"/>
    <w:bookmarkEnd w:id="19"/>
    <w:bookmarkEnd w:id="20"/>
    <w:p>
      <w:pPr>
        <w:pStyle w:val="4"/>
        <w:ind w:firstLine="600"/>
        <w:rPr>
          <w:rFonts w:ascii="Times New Roman" w:hAnsi="Times New Roman" w:cs="Times New Roman"/>
          <w:kern w:val="0"/>
          <w:szCs w:val="30"/>
        </w:rPr>
      </w:pPr>
      <w:bookmarkStart w:id="21" w:name="_Toc62822060"/>
      <w:bookmarkStart w:id="22" w:name="_Toc16358"/>
      <w:r>
        <w:rPr>
          <w:rFonts w:hint="eastAsia"/>
          <w:sz w:val="30"/>
          <w:szCs w:val="30"/>
        </w:rPr>
        <w:t>（</w:t>
      </w:r>
      <w:r>
        <w:rPr>
          <w:rFonts w:hint="eastAsia"/>
          <w:sz w:val="30"/>
          <w:szCs w:val="30"/>
          <w:lang w:eastAsia="zh-CN"/>
        </w:rPr>
        <w:t>四</w:t>
      </w:r>
      <w:r>
        <w:rPr>
          <w:rFonts w:hint="eastAsia"/>
          <w:sz w:val="30"/>
          <w:szCs w:val="30"/>
        </w:rPr>
        <w:t>）环境空气挥发性有机物监测</w:t>
      </w:r>
      <w:bookmarkEnd w:id="21"/>
      <w:bookmarkEnd w:id="22"/>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1.监测点位</w:t>
      </w:r>
    </w:p>
    <w:p>
      <w:pPr>
        <w:pStyle w:val="33"/>
        <w:snapToGrid w:val="0"/>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咸宁市生态环境局楼顶。</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2.监测项目</w:t>
      </w:r>
    </w:p>
    <w:p>
      <w:pPr>
        <w:topLinePunct/>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非甲烷总烃（NMHC）和VOCs组分共71项监测指标。具体监测项目见下表5：</w:t>
      </w:r>
    </w:p>
    <w:p>
      <w:pPr>
        <w:widowControl/>
        <w:spacing w:line="560" w:lineRule="exact"/>
        <w:jc w:val="center"/>
        <w:rPr>
          <w:rFonts w:ascii="黑体" w:hAnsi="黑体" w:eastAsia="黑体" w:cs="黑体"/>
          <w:sz w:val="24"/>
          <w:szCs w:val="24"/>
        </w:rPr>
      </w:pPr>
      <w:r>
        <w:rPr>
          <w:rFonts w:hint="eastAsia" w:ascii="黑体" w:hAnsi="黑体" w:eastAsia="黑体" w:cs="黑体"/>
          <w:sz w:val="24"/>
          <w:szCs w:val="24"/>
        </w:rPr>
        <w:t>表5 环境空气挥发性有机物监测项目</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631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52" w:type="pct"/>
            <w:vAlign w:val="center"/>
          </w:tcPr>
          <w:p>
            <w:pPr>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监测项目</w:t>
            </w:r>
          </w:p>
        </w:tc>
        <w:tc>
          <w:tcPr>
            <w:tcW w:w="3571" w:type="pct"/>
            <w:vAlign w:val="center"/>
          </w:tcPr>
          <w:p>
            <w:pPr>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具体组分</w:t>
            </w:r>
          </w:p>
        </w:tc>
        <w:tc>
          <w:tcPr>
            <w:tcW w:w="476" w:type="pct"/>
            <w:vAlign w:val="center"/>
          </w:tcPr>
          <w:p>
            <w:pPr>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2"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非甲烷总烃（NMHC）</w:t>
            </w:r>
          </w:p>
        </w:tc>
        <w:tc>
          <w:tcPr>
            <w:tcW w:w="3571"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非甲烷总烃（NMHC）</w:t>
            </w:r>
          </w:p>
        </w:tc>
        <w:tc>
          <w:tcPr>
            <w:tcW w:w="476"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2"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非甲烷烃（原PAMS物质）</w:t>
            </w:r>
          </w:p>
        </w:tc>
        <w:tc>
          <w:tcPr>
            <w:tcW w:w="3571"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乙烯、乙炔、乙烷、丙烯、丙烷、异丁烷、正丁烯、正丁烷、顺-2-丁烯、反-2-丁烯、异戊烷、1-戊烯、正戊烷、反2-戊烯、2-甲基1,3-丁二烯、顺-2-戊烯、2,2-二甲基丁烷、环戊烷、2,3-二甲基丁烷、2-甲基戊烷、3-甲基戊烷、1-己烯、正己烷、2,4-二甲基戊烷、甲、环戊烷、苯、环己烷、2-甲基己烷、2,3-二甲基戊烷、3-甲基己烷、2,2,4-三甲基戊烷、正庚烷、甲基环己烷、2,3,4-三甲基戊烷、2-甲基庚烷、甲苯、3-甲基庚烷、正辛烷、对二甲苯、乙苯、间二甲苯、正壬烷、苯乙烯、邻二甲苯、异丙苯、正丙苯、1-乙基-2-甲基苯、1-乙基-3-甲基苯、1,3,5-三甲苯、对乙基甲苯、癸烷、1,2,4-三甲苯、1,2,3-三甲苯、1,3-二乙基苯、对二乙苯、十一烷、十二烷</w:t>
            </w:r>
          </w:p>
        </w:tc>
        <w:tc>
          <w:tcPr>
            <w:tcW w:w="476"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57种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2"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醛酮类含氧挥发性有机物（部分OVOCs）</w:t>
            </w:r>
          </w:p>
        </w:tc>
        <w:tc>
          <w:tcPr>
            <w:tcW w:w="3571"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甲醛、乙醛、丙烯醛、丙酮、丙醛、丁烯醛、甲基丙烯醛、2-丁酮、正丁醛、苯甲醛、戊醛、间甲基苯甲醛、己醛</w:t>
            </w:r>
          </w:p>
        </w:tc>
        <w:tc>
          <w:tcPr>
            <w:tcW w:w="476"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13种</w:t>
            </w:r>
          </w:p>
        </w:tc>
      </w:tr>
    </w:tbl>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3.监测时间和频次</w:t>
      </w:r>
    </w:p>
    <w:p>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咸宁市需开展NMHC 、PAMS物质和醛、酮类有机物的监测，NMHC、VOCs组分自动监测仪器全年运行，每小时出具1组监测数据，自动监测设备与总站数据平台联网。</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4.监测方法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环境空气中非甲烷总烃（NMHC）、VOCs组分指标监测依托咸宁超级站设备开展，以自动监测方式完成。</w:t>
      </w:r>
    </w:p>
    <w:p>
      <w:pPr>
        <w:pStyle w:val="4"/>
        <w:ind w:firstLine="600"/>
        <w:rPr>
          <w:sz w:val="30"/>
          <w:szCs w:val="30"/>
        </w:rPr>
      </w:pPr>
      <w:bookmarkStart w:id="23" w:name="_Toc62822061"/>
      <w:bookmarkStart w:id="24" w:name="_Toc27997572"/>
      <w:bookmarkStart w:id="25" w:name="_Toc38465026"/>
      <w:bookmarkStart w:id="26" w:name="_Toc58838265"/>
      <w:bookmarkStart w:id="27" w:name="_Toc1999168"/>
      <w:bookmarkStart w:id="28" w:name="_Toc25419"/>
      <w:r>
        <w:rPr>
          <w:rFonts w:hint="eastAsia"/>
          <w:sz w:val="30"/>
          <w:szCs w:val="30"/>
        </w:rPr>
        <w:t>（</w:t>
      </w:r>
      <w:r>
        <w:rPr>
          <w:rFonts w:hint="eastAsia"/>
          <w:sz w:val="30"/>
          <w:szCs w:val="30"/>
          <w:lang w:eastAsia="zh-CN"/>
        </w:rPr>
        <w:t>五</w:t>
      </w:r>
      <w:r>
        <w:rPr>
          <w:rFonts w:hint="eastAsia"/>
          <w:sz w:val="30"/>
          <w:szCs w:val="30"/>
        </w:rPr>
        <w:t>）环境空气质量预报</w:t>
      </w:r>
      <w:bookmarkEnd w:id="23"/>
      <w:bookmarkEnd w:id="24"/>
      <w:bookmarkEnd w:id="25"/>
      <w:bookmarkEnd w:id="26"/>
      <w:bookmarkEnd w:id="27"/>
      <w:bookmarkEnd w:id="28"/>
    </w:p>
    <w:p>
      <w:pPr>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市生态环境局宣教中心根据咸宁生态环境监测中心每日推送的未来三天空气质量预报结果，及时更新咸宁市生态环境局官网空气质量预报信息并与咸宁市电视台和咸宁市广播电视台做好信息对接。</w:t>
      </w:r>
    </w:p>
    <w:p>
      <w:pPr>
        <w:pStyle w:val="2"/>
        <w:ind w:firstLine="560"/>
        <w:rPr>
          <w:rFonts w:ascii="Times New Roman" w:eastAsia="仿宋_GB2312" w:cs="Times New Roman"/>
          <w:sz w:val="28"/>
          <w:szCs w:val="28"/>
        </w:rPr>
      </w:pPr>
    </w:p>
    <w:p>
      <w:pPr>
        <w:pStyle w:val="2"/>
        <w:ind w:firstLine="560"/>
        <w:rPr>
          <w:rFonts w:ascii="Times New Roman" w:eastAsia="仿宋_GB2312" w:cs="Times New Roman"/>
          <w:sz w:val="28"/>
          <w:szCs w:val="28"/>
        </w:rPr>
      </w:pPr>
    </w:p>
    <w:p>
      <w:pPr>
        <w:pStyle w:val="2"/>
        <w:ind w:firstLine="560"/>
        <w:rPr>
          <w:rFonts w:ascii="Times New Roman" w:eastAsia="仿宋_GB2312" w:cs="Times New Roman"/>
          <w:sz w:val="28"/>
          <w:szCs w:val="28"/>
        </w:rPr>
      </w:pPr>
    </w:p>
    <w:p>
      <w:pPr>
        <w:pStyle w:val="3"/>
        <w:rPr>
          <w:rFonts w:ascii="Times New Roman" w:eastAsia="仿宋_GB2312" w:cs="Times New Roman"/>
          <w:sz w:val="28"/>
          <w:szCs w:val="28"/>
        </w:rPr>
      </w:pPr>
    </w:p>
    <w:p>
      <w:pPr>
        <w:pStyle w:val="3"/>
        <w:rPr>
          <w:rFonts w:ascii="Times New Roman" w:eastAsia="仿宋_GB2312" w:cs="Times New Roman"/>
          <w:sz w:val="28"/>
          <w:szCs w:val="28"/>
        </w:rPr>
      </w:pPr>
    </w:p>
    <w:p>
      <w:pPr>
        <w:pStyle w:val="3"/>
        <w:rPr>
          <w:rFonts w:ascii="Times New Roman" w:eastAsia="仿宋_GB2312" w:cs="Times New Roman"/>
          <w:sz w:val="28"/>
          <w:szCs w:val="28"/>
        </w:rPr>
      </w:pPr>
    </w:p>
    <w:p>
      <w:pPr>
        <w:pStyle w:val="2"/>
        <w:numPr>
          <w:ilvl w:val="0"/>
          <w:numId w:val="2"/>
        </w:numPr>
        <w:ind w:firstLine="643"/>
        <w:jc w:val="center"/>
        <w:outlineLvl w:val="0"/>
        <w:rPr>
          <w:rFonts w:ascii="黑体" w:hAnsi="黑体" w:eastAsia="黑体" w:cs="黑体"/>
          <w:b/>
          <w:bCs/>
          <w:sz w:val="32"/>
          <w:szCs w:val="32"/>
          <w:lang w:val="en-US"/>
        </w:rPr>
      </w:pPr>
      <w:bookmarkStart w:id="29" w:name="_Toc29737"/>
      <w:r>
        <w:rPr>
          <w:rFonts w:hint="eastAsia" w:ascii="黑体" w:hAnsi="黑体" w:eastAsia="黑体" w:cs="黑体"/>
          <w:b/>
          <w:bCs/>
          <w:sz w:val="32"/>
          <w:szCs w:val="32"/>
          <w:lang w:val="en-US"/>
        </w:rPr>
        <w:t>水环境质量监测</w:t>
      </w:r>
      <w:bookmarkEnd w:id="29"/>
    </w:p>
    <w:p>
      <w:pPr>
        <w:pStyle w:val="2"/>
        <w:ind w:firstLine="560"/>
        <w:rPr>
          <w:rFonts w:ascii="Times New Roman" w:eastAsia="仿宋_GB2312" w:cs="Times New Roman"/>
          <w:sz w:val="28"/>
          <w:szCs w:val="28"/>
        </w:rPr>
      </w:pPr>
    </w:p>
    <w:p>
      <w:pPr>
        <w:pStyle w:val="4"/>
        <w:ind w:firstLine="600"/>
        <w:rPr>
          <w:sz w:val="30"/>
          <w:szCs w:val="30"/>
        </w:rPr>
      </w:pPr>
      <w:bookmarkStart w:id="30" w:name="_Toc479234547"/>
      <w:bookmarkStart w:id="31" w:name="_Toc62822062"/>
      <w:bookmarkStart w:id="32" w:name="_Toc2346996"/>
      <w:bookmarkStart w:id="33" w:name="_Toc446591065"/>
      <w:bookmarkStart w:id="34" w:name="_Toc446590952"/>
      <w:bookmarkStart w:id="35" w:name="_Toc511311135"/>
      <w:bookmarkStart w:id="36" w:name="_Toc447617102"/>
      <w:bookmarkStart w:id="37" w:name="_Toc38546105"/>
      <w:bookmarkStart w:id="38" w:name="_Toc512586295"/>
      <w:bookmarkStart w:id="39" w:name="_Toc446591095"/>
      <w:bookmarkStart w:id="40" w:name="_Toc6809"/>
      <w:r>
        <w:rPr>
          <w:rFonts w:hint="eastAsia"/>
          <w:sz w:val="30"/>
          <w:szCs w:val="30"/>
        </w:rPr>
        <w:t>（</w:t>
      </w:r>
      <w:r>
        <w:rPr>
          <w:rFonts w:hint="eastAsia"/>
          <w:sz w:val="30"/>
          <w:szCs w:val="30"/>
          <w:lang w:eastAsia="zh-CN"/>
        </w:rPr>
        <w:t>六</w:t>
      </w:r>
      <w:r>
        <w:rPr>
          <w:rFonts w:hint="eastAsia"/>
          <w:sz w:val="30"/>
          <w:szCs w:val="30"/>
        </w:rPr>
        <w:t>）地表水水质监测</w:t>
      </w:r>
      <w:bookmarkEnd w:id="30"/>
      <w:bookmarkEnd w:id="31"/>
      <w:bookmarkEnd w:id="32"/>
      <w:bookmarkEnd w:id="33"/>
      <w:bookmarkEnd w:id="34"/>
      <w:bookmarkEnd w:id="35"/>
      <w:bookmarkEnd w:id="36"/>
      <w:bookmarkEnd w:id="37"/>
      <w:bookmarkEnd w:id="38"/>
      <w:bookmarkEnd w:id="39"/>
      <w:bookmarkEnd w:id="40"/>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1.监测点位</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咸宁市有市控及其它地表水监测点位（断面）33个，具体见下表</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p>
    <w:p>
      <w:pPr>
        <w:pStyle w:val="2"/>
        <w:kinsoku w:val="0"/>
        <w:overflowPunct w:val="0"/>
        <w:snapToGrid w:val="0"/>
        <w:spacing w:line="560" w:lineRule="exact"/>
        <w:ind w:firstLine="414"/>
        <w:jc w:val="center"/>
      </w:pPr>
      <w:r>
        <w:rPr>
          <w:rFonts w:hint="eastAsia" w:hAnsi="宋体"/>
          <w:b/>
          <w:bCs/>
          <w:color w:val="000000"/>
          <w:spacing w:val="-2"/>
          <w:sz w:val="21"/>
          <w:lang w:val="en-US"/>
        </w:rPr>
        <w:t>表</w:t>
      </w:r>
      <w:r>
        <w:rPr>
          <w:rFonts w:hint="eastAsia" w:hAnsi="宋体"/>
          <w:b/>
          <w:bCs/>
          <w:color w:val="000000"/>
          <w:spacing w:val="-2"/>
          <w:sz w:val="21"/>
          <w:lang w:val="en-US" w:eastAsia="zh-CN"/>
        </w:rPr>
        <w:t>6</w:t>
      </w:r>
      <w:r>
        <w:rPr>
          <w:rFonts w:hint="eastAsia" w:hAnsi="宋体"/>
          <w:b/>
          <w:bCs/>
          <w:color w:val="000000"/>
          <w:spacing w:val="-2"/>
          <w:sz w:val="21"/>
          <w:lang w:val="en-US"/>
        </w:rPr>
        <w:t xml:space="preserve">   咸宁市市控及其它地表水监测点位（断面）表</w:t>
      </w:r>
    </w:p>
    <w:tbl>
      <w:tblPr>
        <w:tblStyle w:val="22"/>
        <w:tblW w:w="9356" w:type="dxa"/>
        <w:tblInd w:w="-272" w:type="dxa"/>
        <w:tblLayout w:type="fixed"/>
        <w:tblCellMar>
          <w:top w:w="0" w:type="dxa"/>
          <w:left w:w="0" w:type="dxa"/>
          <w:bottom w:w="0" w:type="dxa"/>
          <w:right w:w="0" w:type="dxa"/>
        </w:tblCellMar>
      </w:tblPr>
      <w:tblGrid>
        <w:gridCol w:w="773"/>
        <w:gridCol w:w="1341"/>
        <w:gridCol w:w="2565"/>
        <w:gridCol w:w="1417"/>
        <w:gridCol w:w="1559"/>
        <w:gridCol w:w="1701"/>
      </w:tblGrid>
      <w:tr>
        <w:tblPrEx>
          <w:tblCellMar>
            <w:top w:w="0" w:type="dxa"/>
            <w:left w:w="0" w:type="dxa"/>
            <w:bottom w:w="0" w:type="dxa"/>
            <w:right w:w="0" w:type="dxa"/>
          </w:tblCellMar>
        </w:tblPrEx>
        <w:trPr>
          <w:trHeight w:val="289" w:hRule="atLeast"/>
          <w:tblHeader/>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b/>
                <w:color w:val="000000"/>
                <w:spacing w:val="-2"/>
                <w:sz w:val="21"/>
              </w:rPr>
            </w:pPr>
            <w:r>
              <w:rPr>
                <w:rFonts w:hint="eastAsia" w:ascii="仿宋_GB2312" w:hAnsi="仿宋_GB2312" w:eastAsia="仿宋_GB2312" w:cs="仿宋_GB2312"/>
                <w:b/>
                <w:color w:val="000000"/>
                <w:spacing w:val="-2"/>
                <w:sz w:val="21"/>
                <w:lang w:val="en-US"/>
              </w:rPr>
              <w:t>序号</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b/>
                <w:color w:val="000000"/>
                <w:spacing w:val="-2"/>
                <w:sz w:val="21"/>
              </w:rPr>
            </w:pPr>
            <w:r>
              <w:rPr>
                <w:rFonts w:hint="eastAsia" w:ascii="仿宋_GB2312" w:hAnsi="仿宋_GB2312" w:eastAsia="仿宋_GB2312" w:cs="仿宋_GB2312"/>
                <w:b/>
                <w:color w:val="000000"/>
                <w:spacing w:val="-2"/>
                <w:sz w:val="21"/>
                <w:lang w:val="en-US"/>
              </w:rPr>
              <w:t>监测水体</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b/>
                <w:color w:val="000000"/>
                <w:spacing w:val="-2"/>
                <w:sz w:val="21"/>
              </w:rPr>
            </w:pPr>
            <w:r>
              <w:rPr>
                <w:rFonts w:hint="eastAsia" w:ascii="仿宋_GB2312" w:hAnsi="仿宋_GB2312" w:eastAsia="仿宋_GB2312" w:cs="仿宋_GB2312"/>
                <w:b/>
                <w:color w:val="000000"/>
                <w:spacing w:val="-2"/>
                <w:sz w:val="21"/>
                <w:lang w:val="en-US"/>
              </w:rPr>
              <w:t>断面名称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b/>
                <w:color w:val="000000"/>
                <w:spacing w:val="-2"/>
                <w:sz w:val="21"/>
              </w:rPr>
            </w:pPr>
            <w:r>
              <w:rPr>
                <w:rFonts w:hint="eastAsia" w:ascii="仿宋_GB2312" w:hAnsi="仿宋_GB2312" w:eastAsia="仿宋_GB2312" w:cs="仿宋_GB2312"/>
                <w:b/>
                <w:color w:val="000000"/>
                <w:spacing w:val="-2"/>
                <w:sz w:val="21"/>
                <w:lang w:val="en-US"/>
              </w:rPr>
              <w:t>类型</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b/>
                <w:color w:val="000000"/>
                <w:spacing w:val="-2"/>
                <w:sz w:val="21"/>
              </w:rPr>
            </w:pPr>
            <w:r>
              <w:rPr>
                <w:rFonts w:hint="eastAsia" w:ascii="仿宋_GB2312" w:hAnsi="仿宋_GB2312" w:eastAsia="仿宋_GB2312" w:cs="仿宋_GB2312"/>
                <w:b/>
                <w:color w:val="000000"/>
                <w:spacing w:val="-2"/>
                <w:sz w:val="21"/>
                <w:lang w:val="en-US"/>
              </w:rPr>
              <w:t>经度</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b/>
                <w:color w:val="000000"/>
                <w:spacing w:val="-2"/>
                <w:sz w:val="21"/>
              </w:rPr>
            </w:pPr>
            <w:r>
              <w:rPr>
                <w:rFonts w:hint="eastAsia" w:ascii="仿宋_GB2312" w:hAnsi="仿宋_GB2312" w:eastAsia="仿宋_GB2312" w:cs="仿宋_GB2312"/>
                <w:b/>
                <w:color w:val="000000"/>
                <w:spacing w:val="-2"/>
                <w:sz w:val="21"/>
                <w:lang w:val="en-US"/>
              </w:rPr>
              <w:t>纬度</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青山河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青山河入陆水河处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29.5011</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高堤河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高堤河入陆水河处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114.0819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29.5487</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崇阳港</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崇阳港入陆水河处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114.0076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29.615</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大市河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大市河入陆水河处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114.1711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29.5287</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陆  水</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106大桥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114.0205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29.523</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淦  水</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一号桥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114.3238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29.8193</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淦  水</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老虎嘴上游150米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114.2564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29.9217</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高桥河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吴龙湾</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114.5476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29.9547</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汀泗河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汀泗河入西凉湖处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114.1771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29.8399</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宋家河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宋家河入西凉湖处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113.9875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29.8812</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新店河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新店河入黄盖湖处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113.6889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29.6405</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通山河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通山河入富水河处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114.4605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29.5944</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黄沙河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黄沙河入富水水库处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114.6766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29.7438</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三溪河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三溪河出通山县境处</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114.7258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29.8169</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北洪港</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北洪港入斧头湖口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114.1595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29.9606</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长  江</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西流湾</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113.9409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30.2071</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17</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菖蒲港</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关刀大桥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113.9062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29.2173</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铁柱港</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下畈大桥上游500米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113.7867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29.2912</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高桥河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大堰口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114.6415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29.8507</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南川水库</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南川水库库心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114.4188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29.7114</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四门楼水库</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四门楼水库库心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114.4111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29.7816</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双石水库</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双石水库库心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114.2953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29.8488</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鸣水泉库</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鸣水泉水库库心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114.3086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29.7174</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三湖连江</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梅澥湖湖心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113.9118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29.9611</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大岩湖</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大岩湖湖心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114.4188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29.7114</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蜜泉湖</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蜜泉湖湖心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114.4111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29.7816</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27</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珍湖</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珍湖湖心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113.6783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29.8719</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沧湖</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沧湖湖心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114.3086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29.7174</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lang w:val="en-US"/>
              </w:rPr>
            </w:pPr>
            <w:r>
              <w:rPr>
                <w:rFonts w:hint="eastAsia" w:ascii="仿宋_GB2312" w:hAnsi="仿宋_GB2312" w:eastAsia="仿宋_GB2312" w:cs="仿宋_GB2312"/>
                <w:color w:val="000000"/>
                <w:spacing w:val="-2"/>
                <w:sz w:val="21"/>
                <w:lang w:val="en-US"/>
              </w:rPr>
              <w:t>29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lang w:val="en-US"/>
              </w:rPr>
            </w:pPr>
            <w:r>
              <w:rPr>
                <w:rFonts w:hint="eastAsia" w:ascii="仿宋_GB2312" w:hAnsi="仿宋_GB2312" w:eastAsia="仿宋_GB2312" w:cs="仿宋_GB2312"/>
                <w:color w:val="000000"/>
                <w:spacing w:val="-2"/>
                <w:sz w:val="21"/>
                <w:lang w:val="en-US"/>
              </w:rPr>
              <w:t>蜀湖</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lang w:val="en-US"/>
              </w:rPr>
            </w:pPr>
            <w:r>
              <w:rPr>
                <w:rFonts w:hint="eastAsia" w:ascii="仿宋_GB2312" w:hAnsi="仿宋_GB2312" w:eastAsia="仿宋_GB2312" w:cs="仿宋_GB2312"/>
                <w:color w:val="000000"/>
                <w:spacing w:val="-2"/>
                <w:sz w:val="21"/>
                <w:lang w:val="en-US"/>
              </w:rPr>
              <w:t>蜀湖湖心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lang w:val="en-US"/>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lang w:val="en-US"/>
              </w:rPr>
            </w:pPr>
            <w:r>
              <w:rPr>
                <w:rFonts w:hint="eastAsia" w:ascii="仿宋_GB2312" w:hAnsi="仿宋_GB2312" w:eastAsia="仿宋_GB2312" w:cs="仿宋_GB2312"/>
                <w:color w:val="000000"/>
                <w:spacing w:val="-2"/>
                <w:sz w:val="21"/>
                <w:lang w:val="en-US"/>
              </w:rPr>
              <w:t>113.9811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lang w:val="en-US"/>
              </w:rPr>
            </w:pPr>
            <w:r>
              <w:rPr>
                <w:rFonts w:hint="eastAsia" w:ascii="仿宋_GB2312" w:hAnsi="仿宋_GB2312" w:eastAsia="仿宋_GB2312" w:cs="仿宋_GB2312"/>
                <w:color w:val="000000"/>
                <w:spacing w:val="-2"/>
                <w:sz w:val="21"/>
                <w:lang w:val="en-US"/>
              </w:rPr>
              <w:t>29.9650</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30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王家寨湖</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家寨湖湖心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湖库</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114.907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29.9877</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31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舒桥河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舒桥河入西凉湖湖口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114.0094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29.8998</w:t>
            </w:r>
          </w:p>
        </w:tc>
      </w:tr>
      <w:tr>
        <w:tblPrEx>
          <w:tblCellMar>
            <w:top w:w="0" w:type="dxa"/>
            <w:left w:w="0" w:type="dxa"/>
            <w:bottom w:w="0" w:type="dxa"/>
            <w:right w:w="0" w:type="dxa"/>
          </w:tblCellMar>
        </w:tblPrEx>
        <w:trPr>
          <w:trHeight w:val="34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32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泉口河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泉口河入西凉湖湖口</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114.1392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29.8845</w:t>
            </w:r>
          </w:p>
        </w:tc>
      </w:tr>
      <w:tr>
        <w:tblPrEx>
          <w:tblCellMar>
            <w:top w:w="0" w:type="dxa"/>
            <w:left w:w="0" w:type="dxa"/>
            <w:bottom w:w="0" w:type="dxa"/>
            <w:right w:w="0" w:type="dxa"/>
          </w:tblCellMar>
        </w:tblPrEx>
        <w:trPr>
          <w:trHeight w:val="28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lang w:val="en-US"/>
              </w:rPr>
            </w:pPr>
            <w:r>
              <w:rPr>
                <w:rFonts w:hint="eastAsia" w:ascii="仿宋_GB2312" w:hAnsi="仿宋_GB2312" w:eastAsia="仿宋_GB2312" w:cs="仿宋_GB2312"/>
                <w:color w:val="000000"/>
                <w:spacing w:val="-2"/>
                <w:sz w:val="21"/>
                <w:lang w:val="en-US"/>
              </w:rPr>
              <w:t>33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隽水河</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隽水河磨桥大桥</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河流</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113.7672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2"/>
              <w:kinsoku w:val="0"/>
              <w:overflowPunct w:val="0"/>
              <w:snapToGrid w:val="0"/>
              <w:spacing w:line="560" w:lineRule="exact"/>
              <w:ind w:firstLine="0" w:firstLineChars="0"/>
              <w:jc w:val="center"/>
              <w:rPr>
                <w:rFonts w:ascii="仿宋_GB2312" w:hAnsi="仿宋_GB2312" w:eastAsia="仿宋_GB2312" w:cs="仿宋_GB2312"/>
                <w:color w:val="000000"/>
                <w:spacing w:val="-2"/>
                <w:sz w:val="21"/>
              </w:rPr>
            </w:pPr>
            <w:r>
              <w:rPr>
                <w:rFonts w:hint="eastAsia" w:ascii="仿宋_GB2312" w:hAnsi="仿宋_GB2312" w:eastAsia="仿宋_GB2312" w:cs="仿宋_GB2312"/>
                <w:color w:val="000000"/>
                <w:spacing w:val="-2"/>
                <w:sz w:val="21"/>
                <w:lang w:val="en-US"/>
              </w:rPr>
              <w:t>29.2366</w:t>
            </w:r>
          </w:p>
        </w:tc>
      </w:tr>
    </w:tbl>
    <w:p>
      <w:pPr>
        <w:pStyle w:val="2"/>
        <w:ind w:firstLine="480"/>
        <w:sectPr>
          <w:footerReference r:id="rId10" w:type="default"/>
          <w:pgSz w:w="11906" w:h="16838"/>
          <w:pgMar w:top="1418" w:right="1588" w:bottom="1418" w:left="1701" w:header="851" w:footer="680" w:gutter="0"/>
          <w:pgNumType w:start="1"/>
          <w:cols w:space="720" w:num="1"/>
          <w:docGrid w:type="lines" w:linePitch="312" w:charSpace="0"/>
        </w:sectPr>
      </w:pP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2.监测项目</w:t>
      </w:r>
    </w:p>
    <w:p>
      <w:pPr>
        <w:pStyle w:val="11"/>
        <w:tabs>
          <w:tab w:val="left" w:pos="5883"/>
        </w:tabs>
        <w:snapToGrid w:val="0"/>
        <w:spacing w:line="560" w:lineRule="exact"/>
        <w:ind w:firstLine="560" w:firstLineChars="200"/>
        <w:jc w:val="both"/>
        <w:rPr>
          <w:rFonts w:ascii="仿宋_GB2312" w:hAnsi="仿宋_GB2312" w:eastAsia="仿宋_GB2312" w:cs="仿宋_GB2312"/>
          <w:b/>
          <w:sz w:val="28"/>
          <w:szCs w:val="28"/>
        </w:rPr>
      </w:pPr>
      <w:r>
        <w:rPr>
          <w:rFonts w:hint="eastAsia" w:ascii="仿宋_GB2312" w:hAnsi="仿宋_GB2312" w:eastAsia="仿宋_GB2312" w:cs="仿宋_GB2312"/>
          <w:sz w:val="28"/>
          <w:szCs w:val="28"/>
        </w:rPr>
        <w:t>监测指标为“9+X”，其中：“9”为基本指标：水温、pH、溶解氧、电导率、浊度、高锰酸盐指数、氨氮、总磷、总氮（湖库增测透明度和水深）。“X”为特征指标：《地表水环境质量标准》（GB3838-2002）表1基本项目中，除9项基本指标外，上一年及当年出现过的超过III类标准限值的指标；若断面考核目标为Ⅰ或Ⅱ类，则为超过Ⅰ或Ⅱ类标准限值的指标。特征指标结合水污染防治工作需求动态调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3.监测时间和频次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每月监测一次。每季度第一个月监测按照《地表水环境质量标准》（GB3838-2002）表1基本项目进行监测（粪大肠菌群除外）一次。河流每月增测电导率和浊度，湖库每月增测电导率、浊度、透明度和叶绿素a。</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4.质量保证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按照《地表水和污水监测技术规范》（HJ/T 91-2002）、《环境水质监测质量保证手册》（第二版）和《国家地表水环境质量监测网监测任务作业指导书（试行）》开展监测质量保证和质量控制工作。</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5.数据上报要求</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由市生态环境局生态科负责组织监测、汇总和审核，并将数据及时反馈给相关科室及部门。</w:t>
      </w:r>
    </w:p>
    <w:p>
      <w:pPr>
        <w:pStyle w:val="4"/>
        <w:ind w:firstLine="600"/>
      </w:pPr>
      <w:bookmarkStart w:id="41" w:name="_Toc62822063"/>
      <w:bookmarkStart w:id="42" w:name="_Toc32158"/>
      <w:bookmarkStart w:id="43" w:name="_Toc447617104"/>
      <w:bookmarkStart w:id="44" w:name="_Toc512586297"/>
      <w:bookmarkStart w:id="45" w:name="_Toc479234549"/>
      <w:bookmarkStart w:id="46" w:name="_Toc446590966"/>
      <w:bookmarkStart w:id="47" w:name="_Toc38546107"/>
      <w:bookmarkStart w:id="48" w:name="_Toc446591067"/>
      <w:bookmarkStart w:id="49" w:name="_Toc2346998"/>
      <w:bookmarkStart w:id="50" w:name="_Toc511311137"/>
      <w:bookmarkStart w:id="51" w:name="_Toc446591097"/>
      <w:r>
        <w:rPr>
          <w:rFonts w:hint="eastAsia"/>
          <w:sz w:val="30"/>
          <w:szCs w:val="30"/>
        </w:rPr>
        <w:t>（</w:t>
      </w:r>
      <w:r>
        <w:rPr>
          <w:rFonts w:hint="eastAsia"/>
          <w:sz w:val="30"/>
          <w:szCs w:val="30"/>
          <w:lang w:eastAsia="zh-CN"/>
        </w:rPr>
        <w:t>七</w:t>
      </w:r>
      <w:r>
        <w:rPr>
          <w:rFonts w:hint="eastAsia"/>
          <w:sz w:val="30"/>
          <w:szCs w:val="30"/>
        </w:rPr>
        <w:t>）</w:t>
      </w:r>
      <w:bookmarkStart w:id="52" w:name="_Toc2346997"/>
      <w:bookmarkStart w:id="53" w:name="_Toc38546106"/>
      <w:bookmarkStart w:id="54" w:name="_Toc512586296"/>
      <w:bookmarkStart w:id="55" w:name="_Toc511311136"/>
      <w:bookmarkStart w:id="56" w:name="_Toc62042926"/>
      <w:r>
        <w:rPr>
          <w:rFonts w:hint="eastAsia"/>
          <w:sz w:val="30"/>
          <w:szCs w:val="30"/>
        </w:rPr>
        <w:t>地表水水质自动监测</w:t>
      </w:r>
      <w:bookmarkEnd w:id="41"/>
      <w:bookmarkEnd w:id="42"/>
      <w:bookmarkEnd w:id="52"/>
      <w:bookmarkEnd w:id="53"/>
      <w:bookmarkEnd w:id="54"/>
      <w:bookmarkEnd w:id="55"/>
      <w:bookmarkEnd w:id="56"/>
    </w:p>
    <w:p>
      <w:pPr>
        <w:tabs>
          <w:tab w:val="left" w:pos="987"/>
        </w:tabs>
        <w:spacing w:line="560" w:lineRule="exact"/>
        <w:ind w:left="567"/>
        <w:rPr>
          <w:rFonts w:ascii="仿宋_GB2312" w:hAnsi="仿宋_GB2312" w:eastAsia="仿宋_GB2312" w:cs="仿宋_GB2312"/>
          <w:color w:val="000000"/>
          <w:sz w:val="28"/>
          <w:szCs w:val="28"/>
        </w:rPr>
      </w:pPr>
      <w:bookmarkStart w:id="57" w:name="_Toc446590960"/>
      <w:r>
        <w:rPr>
          <w:rFonts w:hint="eastAsia" w:ascii="仿宋_GB2312" w:hAnsi="仿宋_GB2312" w:eastAsia="仿宋_GB2312" w:cs="仿宋_GB2312"/>
          <w:color w:val="000000"/>
          <w:sz w:val="28"/>
          <w:szCs w:val="28"/>
        </w:rPr>
        <w:t>1.监测</w:t>
      </w:r>
      <w:bookmarkEnd w:id="57"/>
      <w:r>
        <w:rPr>
          <w:rFonts w:hint="eastAsia" w:ascii="仿宋_GB2312" w:hAnsi="仿宋_GB2312" w:eastAsia="仿宋_GB2312" w:cs="仿宋_GB2312"/>
          <w:color w:val="000000"/>
          <w:sz w:val="28"/>
          <w:szCs w:val="28"/>
        </w:rPr>
        <w:t>点位</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咸宁市现有各类型水质自动监测站8个，具体见下表</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w:t>
      </w:r>
    </w:p>
    <w:p>
      <w:pPr>
        <w:spacing w:line="560" w:lineRule="exact"/>
        <w:ind w:firstLine="480" w:firstLineChars="200"/>
        <w:jc w:val="center"/>
        <w:rPr>
          <w:rFonts w:ascii="黑体" w:hAnsi="黑体" w:eastAsia="黑体" w:cs="黑体"/>
          <w:sz w:val="24"/>
          <w:szCs w:val="24"/>
        </w:rPr>
      </w:pPr>
    </w:p>
    <w:p>
      <w:pPr>
        <w:spacing w:line="560" w:lineRule="exact"/>
        <w:ind w:firstLine="480" w:firstLineChars="200"/>
        <w:jc w:val="center"/>
        <w:rPr>
          <w:rFonts w:ascii="黑体" w:hAnsi="黑体" w:eastAsia="黑体" w:cs="黑体"/>
          <w:sz w:val="24"/>
          <w:szCs w:val="24"/>
        </w:rPr>
      </w:pPr>
    </w:p>
    <w:p>
      <w:pPr>
        <w:spacing w:line="560" w:lineRule="exact"/>
        <w:ind w:firstLine="480" w:firstLineChars="200"/>
        <w:jc w:val="center"/>
        <w:rPr>
          <w:rFonts w:ascii="黑体" w:hAnsi="黑体" w:eastAsia="黑体" w:cs="黑体"/>
          <w:sz w:val="24"/>
          <w:szCs w:val="24"/>
        </w:rPr>
      </w:pPr>
    </w:p>
    <w:p>
      <w:pPr>
        <w:spacing w:line="560" w:lineRule="exact"/>
        <w:ind w:firstLine="480" w:firstLineChars="200"/>
        <w:jc w:val="center"/>
        <w:rPr>
          <w:rFonts w:ascii="黑体" w:hAnsi="黑体" w:eastAsia="黑体" w:cs="黑体"/>
          <w:sz w:val="24"/>
          <w:szCs w:val="24"/>
        </w:rPr>
      </w:pPr>
      <w:r>
        <w:rPr>
          <w:rFonts w:hint="eastAsia" w:ascii="黑体" w:hAnsi="黑体" w:eastAsia="黑体" w:cs="黑体"/>
          <w:sz w:val="24"/>
          <w:szCs w:val="24"/>
        </w:rPr>
        <w:t>表</w:t>
      </w:r>
      <w:r>
        <w:rPr>
          <w:rFonts w:hint="eastAsia" w:ascii="黑体" w:hAnsi="黑体" w:eastAsia="黑体" w:cs="黑体"/>
          <w:sz w:val="24"/>
          <w:szCs w:val="24"/>
          <w:lang w:val="en-US" w:eastAsia="zh-CN"/>
        </w:rPr>
        <w:t>7</w:t>
      </w:r>
      <w:r>
        <w:rPr>
          <w:rFonts w:hint="eastAsia" w:ascii="黑体" w:hAnsi="黑体" w:eastAsia="黑体" w:cs="黑体"/>
          <w:sz w:val="24"/>
          <w:szCs w:val="24"/>
        </w:rPr>
        <w:t xml:space="preserve"> 水质自动站站点</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505"/>
        <w:gridCol w:w="2505"/>
        <w:gridCol w:w="141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58" w:type="pct"/>
            <w:vAlign w:val="center"/>
          </w:tcPr>
          <w:p>
            <w:pPr>
              <w:pStyle w:val="34"/>
              <w:spacing w:line="400" w:lineRule="exact"/>
              <w:ind w:left="0" w:leftChars="0" w:right="0" w:rightChars="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418" w:type="pct"/>
            <w:vAlign w:val="center"/>
          </w:tcPr>
          <w:p>
            <w:pPr>
              <w:pStyle w:val="34"/>
              <w:spacing w:line="400" w:lineRule="exact"/>
              <w:ind w:left="0" w:leftChars="0" w:right="0" w:rightChars="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监测水体</w:t>
            </w:r>
          </w:p>
        </w:tc>
        <w:tc>
          <w:tcPr>
            <w:tcW w:w="1418" w:type="pct"/>
            <w:vAlign w:val="center"/>
          </w:tcPr>
          <w:p>
            <w:pPr>
              <w:pStyle w:val="34"/>
              <w:spacing w:line="400" w:lineRule="exact"/>
              <w:ind w:left="0" w:leftChars="0" w:right="0" w:rightChars="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断面名称</w:t>
            </w:r>
          </w:p>
        </w:tc>
        <w:tc>
          <w:tcPr>
            <w:tcW w:w="803" w:type="pct"/>
            <w:vAlign w:val="center"/>
          </w:tcPr>
          <w:p>
            <w:pPr>
              <w:pStyle w:val="34"/>
              <w:spacing w:line="400" w:lineRule="exact"/>
              <w:ind w:left="0" w:leftChars="0" w:right="0" w:rightChars="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控制级别</w:t>
            </w:r>
          </w:p>
        </w:tc>
        <w:tc>
          <w:tcPr>
            <w:tcW w:w="803" w:type="pct"/>
            <w:vAlign w:val="center"/>
          </w:tcPr>
          <w:p>
            <w:pPr>
              <w:pStyle w:val="34"/>
              <w:spacing w:line="400" w:lineRule="exact"/>
              <w:ind w:left="0" w:leftChars="0" w:right="0" w:rightChars="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斧头湖</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咸宁湖心</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国控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嘉鱼县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富水水库</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富水水库</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国控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通山县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淦河</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窑嘴大桥</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国控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咸安区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4</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陆水</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陆溪口</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国控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赤壁市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5</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陆水</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洪下水文站</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国控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崇阳县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6</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陆水</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石矶头大桥上</w:t>
            </w:r>
          </w:p>
        </w:tc>
        <w:tc>
          <w:tcPr>
            <w:tcW w:w="803" w:type="pct"/>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通城县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7</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陆水</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黄盖湖镇（右）</w:t>
            </w:r>
          </w:p>
        </w:tc>
        <w:tc>
          <w:tcPr>
            <w:tcW w:w="803" w:type="pct"/>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赤壁市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8</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长江</w:t>
            </w:r>
          </w:p>
        </w:tc>
        <w:tc>
          <w:tcPr>
            <w:tcW w:w="1418"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潘家湾</w:t>
            </w:r>
          </w:p>
        </w:tc>
        <w:tc>
          <w:tcPr>
            <w:tcW w:w="803" w:type="pct"/>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水源地</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嘉鱼县</w:t>
            </w:r>
          </w:p>
        </w:tc>
      </w:tr>
    </w:tbl>
    <w:p>
      <w:pPr>
        <w:tabs>
          <w:tab w:val="left" w:pos="987"/>
        </w:tabs>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2.工作内容</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生态环境局生态科统一组织站点所在地分局负责国家水站的站房主体、水电路、空调设备、网络通讯设备、防雷装置、消防设备、安全防盗设施、采水构筑物、采（配）水管理以及出入道路的维护等日常运行所必需的基础条件保障工作。各国控站点的运维由生态环境部和省生态环境厅负责，长江潘家湾地表水饮用水源地水站运维由咸宁市生态环境局负责。</w:t>
      </w:r>
    </w:p>
    <w:p>
      <w:pPr>
        <w:pStyle w:val="4"/>
        <w:ind w:firstLine="600"/>
        <w:rPr>
          <w:sz w:val="30"/>
          <w:szCs w:val="30"/>
        </w:rPr>
      </w:pPr>
      <w:bookmarkStart w:id="58" w:name="_Toc62822064"/>
      <w:bookmarkStart w:id="59" w:name="_Toc27972"/>
      <w:r>
        <w:rPr>
          <w:rFonts w:hint="eastAsia"/>
          <w:sz w:val="30"/>
          <w:szCs w:val="30"/>
        </w:rPr>
        <w:t>（</w:t>
      </w:r>
      <w:r>
        <w:rPr>
          <w:rFonts w:hint="eastAsia"/>
          <w:sz w:val="30"/>
          <w:szCs w:val="30"/>
          <w:lang w:eastAsia="zh-CN"/>
        </w:rPr>
        <w:t>八</w:t>
      </w:r>
      <w:r>
        <w:rPr>
          <w:rFonts w:hint="eastAsia"/>
          <w:sz w:val="30"/>
          <w:szCs w:val="30"/>
        </w:rPr>
        <w:t>）县级城市集中式饮用水源地水质监测</w:t>
      </w:r>
      <w:bookmarkEnd w:id="43"/>
      <w:bookmarkEnd w:id="44"/>
      <w:bookmarkEnd w:id="45"/>
      <w:bookmarkEnd w:id="46"/>
      <w:bookmarkEnd w:id="47"/>
      <w:bookmarkEnd w:id="48"/>
      <w:bookmarkEnd w:id="49"/>
      <w:bookmarkEnd w:id="50"/>
      <w:bookmarkEnd w:id="51"/>
      <w:bookmarkEnd w:id="58"/>
      <w:bookmarkEnd w:id="59"/>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1.监测点位</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咸宁市现有7个在用（备用）县级城市集中式饮用水源地，具体见下表</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w:t>
      </w:r>
    </w:p>
    <w:p>
      <w:pPr>
        <w:widowControl/>
        <w:spacing w:line="560" w:lineRule="exact"/>
        <w:jc w:val="center"/>
        <w:rPr>
          <w:rFonts w:ascii="黑体" w:hAnsi="黑体" w:eastAsia="黑体" w:cs="黑体"/>
          <w:sz w:val="28"/>
          <w:szCs w:val="28"/>
        </w:rPr>
      </w:pPr>
      <w:r>
        <w:rPr>
          <w:rFonts w:hint="eastAsia" w:ascii="黑体" w:hAnsi="黑体" w:eastAsia="黑体" w:cs="黑体"/>
          <w:sz w:val="24"/>
          <w:szCs w:val="24"/>
        </w:rPr>
        <w:t>表</w:t>
      </w:r>
      <w:r>
        <w:rPr>
          <w:rFonts w:hint="eastAsia" w:ascii="黑体" w:hAnsi="黑体" w:eastAsia="黑体" w:cs="黑体"/>
          <w:sz w:val="24"/>
          <w:szCs w:val="24"/>
          <w:lang w:val="en-US" w:eastAsia="zh-CN"/>
        </w:rPr>
        <w:t xml:space="preserve">8 </w:t>
      </w:r>
      <w:r>
        <w:rPr>
          <w:rFonts w:hint="eastAsia" w:ascii="黑体" w:hAnsi="黑体" w:eastAsia="黑体" w:cs="黑体"/>
          <w:sz w:val="24"/>
          <w:szCs w:val="24"/>
        </w:rPr>
        <w:t>咸宁市县级城市集中式饮用水源地</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63"/>
        <w:gridCol w:w="2318"/>
        <w:gridCol w:w="1392"/>
        <w:gridCol w:w="1392"/>
        <w:gridCol w:w="931"/>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96"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658"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水厂</w:t>
            </w:r>
          </w:p>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名称</w:t>
            </w:r>
          </w:p>
        </w:tc>
        <w:tc>
          <w:tcPr>
            <w:tcW w:w="1312"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监测断面或点位名称</w:t>
            </w:r>
          </w:p>
        </w:tc>
        <w:tc>
          <w:tcPr>
            <w:tcW w:w="788"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东经（度）</w:t>
            </w:r>
          </w:p>
        </w:tc>
        <w:tc>
          <w:tcPr>
            <w:tcW w:w="788"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北纬（度）</w:t>
            </w:r>
          </w:p>
        </w:tc>
        <w:tc>
          <w:tcPr>
            <w:tcW w:w="527"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水源地</w:t>
            </w:r>
          </w:p>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性质</w:t>
            </w:r>
          </w:p>
        </w:tc>
        <w:tc>
          <w:tcPr>
            <w:tcW w:w="527" w:type="pc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所在</w:t>
            </w:r>
          </w:p>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5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赤壁水厂</w:t>
            </w:r>
          </w:p>
        </w:tc>
        <w:tc>
          <w:tcPr>
            <w:tcW w:w="1312"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赤壁市陆水水库</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113.5350</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29.4144</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湖库</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赤壁市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5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嘉鱼水厂</w:t>
            </w:r>
          </w:p>
        </w:tc>
        <w:tc>
          <w:tcPr>
            <w:tcW w:w="1312"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嘉鱼县石矶头水源地</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113.8369</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29.9425</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河流</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嘉鱼县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祟阳水厂</w:t>
            </w:r>
          </w:p>
        </w:tc>
        <w:tc>
          <w:tcPr>
            <w:tcW w:w="1312"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崇阳县青山水库</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114.0442</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29.7119</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湖库</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祟阳县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5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祟阳水厂</w:t>
            </w:r>
          </w:p>
        </w:tc>
        <w:tc>
          <w:tcPr>
            <w:tcW w:w="1312"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陆水河崇阳白泉段</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114.0792</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29.5386</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河流</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祟阳县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5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通山水厂</w:t>
            </w:r>
          </w:p>
        </w:tc>
        <w:tc>
          <w:tcPr>
            <w:tcW w:w="1312"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凤凰山水厂水源地</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114.5178</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29.5608</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河流</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58"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通山水厂</w:t>
            </w:r>
          </w:p>
        </w:tc>
        <w:tc>
          <w:tcPr>
            <w:tcW w:w="1312"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通山县四斗朱水库</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114.4617</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29.6506</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湖库</w:t>
            </w:r>
          </w:p>
        </w:tc>
        <w:tc>
          <w:tcPr>
            <w:tcW w:w="5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5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通城水厂</w:t>
            </w:r>
          </w:p>
        </w:tc>
        <w:tc>
          <w:tcPr>
            <w:tcW w:w="1312"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通城县神龙坪水库</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113.7844</w:t>
            </w:r>
          </w:p>
        </w:tc>
        <w:tc>
          <w:tcPr>
            <w:tcW w:w="788" w:type="pct"/>
            <w:vAlign w:val="center"/>
          </w:tcPr>
          <w:p>
            <w:pPr>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29.1651</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湖库</w:t>
            </w:r>
          </w:p>
        </w:tc>
        <w:tc>
          <w:tcPr>
            <w:tcW w:w="527"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通城县</w:t>
            </w:r>
          </w:p>
        </w:tc>
      </w:tr>
    </w:tbl>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2.监测项目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（1）常规监测：《地表水环境质量标准》（GB 3838-2002）表1的基本项目（24项）、表2的补充项目（5项）和表3的优选特定项目（33项），共62项，并统计当月各水源地的总取水量。各地可根据当地污染实际情况，适当增加区域特征污染物。河流型每次增测电导率和浊度，湖库型每次增测电导率、浊度、透明度和叶绿素a。</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（2）全分析：《地表水环境质量标准》（GB 3838-2002）中的109项。</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3.监测时间</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（1）常规监测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每季度第一个月1～10日采样一次，如遇异常情况，则需加密监测。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（2）全分析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6～7月进行一次水质全分析监测。</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4.质量保证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质量保证和质量控制按照《地表水和污水监测技术规范》（HJ/T 91-2002）及《环境水质监测质量保证手册（第二版）》有关要求执行。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5.数据上报要求</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（1）常规监测数据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各分局在3月、6月、9月及12月10日前，将本季度监测结果按要求上报至市生态环境局生态科，生态科</w:t>
      </w:r>
      <w:r>
        <w:rPr>
          <w:rFonts w:hint="eastAsia" w:ascii="仿宋_GB2312" w:hAnsi="仿宋_GB2312" w:eastAsia="仿宋_GB2312" w:cs="仿宋_GB2312"/>
          <w:bCs/>
          <w:sz w:val="28"/>
          <w:szCs w:val="28"/>
        </w:rPr>
        <w:t>负责汇总并审核全市县级城镇集中式生活饮用水水源地水质监测结果，于每季度最后一个月15日前通过管理系统向省生态环境监测中心站报送当季度监测数据。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（2）全分析监测数据和评价报告</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各分局在9月10日之前将水质全分析数据和全分析评价报告电子版</w:t>
      </w:r>
      <w:r>
        <w:rPr>
          <w:rFonts w:hint="eastAsia" w:ascii="仿宋_GB2312" w:hAnsi="仿宋_GB2312" w:eastAsia="仿宋_GB2312" w:cs="仿宋_GB2312"/>
          <w:sz w:val="28"/>
          <w:szCs w:val="28"/>
        </w:rPr>
        <w:t>按要求报送市生态环境局生态科，生态科</w:t>
      </w:r>
      <w:r>
        <w:rPr>
          <w:rFonts w:hint="eastAsia" w:ascii="仿宋_GB2312" w:hAnsi="仿宋_GB2312" w:eastAsia="仿宋_GB2312" w:cs="仿宋_GB2312"/>
          <w:bCs/>
          <w:sz w:val="28"/>
          <w:szCs w:val="28"/>
        </w:rPr>
        <w:t>负责汇总、审核辖区内水质全分析数据统一于9月份与当季县级城镇集中式生活饮用水源地常规水质监测数据一同通过管理系统报送省生态环境监测中心站。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（3）数据填报格式</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监测数据填报和修约参照执行《地表水环境质量监测数据统计技术规定（试行）》（环办监测函〔2020〕82号）。</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若监测断面水质异常，市生态环境局水科需立即组织相关分局全面排查，并向省生态环境厅报送相关报告。报送监测数据时，若监测值低于检测限，在检测限后加“L”,表1的基本项目检测限应该满足地表水Ⅰ类标准值的1/4；表2和表3项目检测限须满足标准值的1/4；未监测项目填写“-1”，并写明原因。报送取水量时，水源地当月未取水填写“0”，并注明原因（如备用水源地）；未获得取水量信息填写“-1”。若在用水源地当月未监测，则该水源地数据行填“-1”，并注明原因（如备用水源地）。</w:t>
      </w:r>
    </w:p>
    <w:p>
      <w:pPr>
        <w:pStyle w:val="4"/>
        <w:ind w:firstLine="600"/>
      </w:pPr>
      <w:bookmarkStart w:id="60" w:name="_Toc38546113"/>
      <w:bookmarkStart w:id="61" w:name="_Toc62822065"/>
      <w:bookmarkStart w:id="62" w:name="_Toc16670"/>
      <w:r>
        <w:rPr>
          <w:rFonts w:hint="eastAsia"/>
          <w:sz w:val="30"/>
          <w:szCs w:val="30"/>
        </w:rPr>
        <w:t>（</w:t>
      </w:r>
      <w:r>
        <w:rPr>
          <w:rFonts w:hint="eastAsia"/>
          <w:sz w:val="30"/>
          <w:szCs w:val="30"/>
          <w:lang w:eastAsia="zh-CN"/>
        </w:rPr>
        <w:t>九</w:t>
      </w:r>
      <w:r>
        <w:rPr>
          <w:rFonts w:hint="eastAsia"/>
          <w:sz w:val="30"/>
          <w:szCs w:val="30"/>
        </w:rPr>
        <w:t>）</w:t>
      </w:r>
      <w:bookmarkEnd w:id="60"/>
      <w:r>
        <w:rPr>
          <w:rFonts w:hint="eastAsia"/>
          <w:sz w:val="30"/>
          <w:szCs w:val="30"/>
        </w:rPr>
        <w:t>农村集中式饮用水源地水质监测</w:t>
      </w:r>
      <w:bookmarkEnd w:id="61"/>
      <w:bookmarkEnd w:id="62"/>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1.监测点位</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开展农村“万人千吨”和“千人百吨”水源地水质监测，具体监测点位见表</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w:t>
      </w:r>
    </w:p>
    <w:p>
      <w:pPr>
        <w:spacing w:line="560" w:lineRule="exact"/>
        <w:ind w:firstLine="480" w:firstLineChars="200"/>
        <w:jc w:val="center"/>
        <w:rPr>
          <w:rFonts w:ascii="黑体" w:hAnsi="黑体" w:eastAsia="黑体" w:cs="黑体"/>
          <w:bCs/>
          <w:sz w:val="24"/>
          <w:szCs w:val="24"/>
        </w:rPr>
      </w:pPr>
      <w:r>
        <w:rPr>
          <w:rFonts w:hint="eastAsia" w:ascii="黑体" w:hAnsi="黑体" w:eastAsia="黑体" w:cs="黑体"/>
          <w:bCs/>
          <w:sz w:val="24"/>
          <w:szCs w:val="24"/>
        </w:rPr>
        <w:t>表</w:t>
      </w:r>
      <w:r>
        <w:rPr>
          <w:rFonts w:hint="eastAsia" w:ascii="黑体" w:hAnsi="黑体" w:eastAsia="黑体" w:cs="黑体"/>
          <w:bCs/>
          <w:sz w:val="24"/>
          <w:szCs w:val="24"/>
          <w:lang w:val="en-US" w:eastAsia="zh-CN"/>
        </w:rPr>
        <w:t>9</w:t>
      </w:r>
      <w:r>
        <w:rPr>
          <w:rFonts w:hint="eastAsia" w:ascii="黑体" w:hAnsi="黑体" w:eastAsia="黑体" w:cs="黑体"/>
          <w:bCs/>
          <w:sz w:val="24"/>
          <w:szCs w:val="24"/>
        </w:rPr>
        <w:t xml:space="preserve"> 咸宁市“万人千吨”水源地</w:t>
      </w:r>
    </w:p>
    <w:tbl>
      <w:tblPr>
        <w:tblStyle w:val="22"/>
        <w:tblW w:w="5027" w:type="pct"/>
        <w:jc w:val="center"/>
        <w:tblLayout w:type="autofit"/>
        <w:tblCellMar>
          <w:top w:w="0" w:type="dxa"/>
          <w:left w:w="108" w:type="dxa"/>
          <w:bottom w:w="0" w:type="dxa"/>
          <w:right w:w="108" w:type="dxa"/>
        </w:tblCellMar>
      </w:tblPr>
      <w:tblGrid>
        <w:gridCol w:w="663"/>
        <w:gridCol w:w="958"/>
        <w:gridCol w:w="958"/>
        <w:gridCol w:w="1077"/>
        <w:gridCol w:w="3092"/>
        <w:gridCol w:w="1068"/>
        <w:gridCol w:w="1065"/>
      </w:tblGrid>
      <w:tr>
        <w:tblPrEx>
          <w:tblCellMar>
            <w:top w:w="0" w:type="dxa"/>
            <w:left w:w="108" w:type="dxa"/>
            <w:bottom w:w="0" w:type="dxa"/>
            <w:right w:w="108" w:type="dxa"/>
          </w:tblCellMar>
        </w:tblPrEx>
        <w:trPr>
          <w:trHeight w:val="20" w:hRule="atLeast"/>
          <w:tblHeader/>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5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地市</w:t>
            </w:r>
          </w:p>
        </w:tc>
        <w:tc>
          <w:tcPr>
            <w:tcW w:w="5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区县</w:t>
            </w:r>
          </w:p>
        </w:tc>
        <w:tc>
          <w:tcPr>
            <w:tcW w:w="60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乡镇</w:t>
            </w:r>
          </w:p>
        </w:tc>
        <w:tc>
          <w:tcPr>
            <w:tcW w:w="174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水源地名称</w:t>
            </w:r>
          </w:p>
        </w:tc>
        <w:tc>
          <w:tcPr>
            <w:tcW w:w="6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取水水体</w:t>
            </w:r>
          </w:p>
        </w:tc>
        <w:tc>
          <w:tcPr>
            <w:tcW w:w="59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水源地</w:t>
            </w:r>
          </w:p>
          <w:p>
            <w:pPr>
              <w:autoSpaceDE w:val="0"/>
              <w:autoSpaceDN w:val="0"/>
              <w:adjustRightInd w:val="0"/>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类型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咸安区</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汀泗桥镇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汀泗桥镇双石水库水源地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双石水库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咸安区</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大幕乡</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大幕乡泉广垅水库水源地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泉广垅水库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咸安区</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高桥镇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高桥镇高桥河水源地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高桥河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咸安区</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双溪桥镇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双溪桥镇杨堡河水源地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杨堡河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咸安区</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马桥镇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马桥镇四门楼水库水源地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四门楼水库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嘉鱼县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簰洲湾镇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簰洲湾镇新洲水源地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长江</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嘉鱼县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簰洲湾镇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簰洲湾镇西流湾水源地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长江</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嘉鱼县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簰洲湾镇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簰洲湾镇净化水厂水源地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长江</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嘉鱼县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陆溪镇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陆溪镇陆溪口水源地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长江</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嘉鱼县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陆溪镇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陆溪镇邱湾水源地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长江</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赤壁市</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赵李桥镇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赵李桥镇石人泉水库水源地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石人泉水库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赤壁市</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茶庵岭镇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茶庵岭镇白石水库水源地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白石水库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赤壁市</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车埠镇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车埠镇燎燃水库水源地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燎燃水库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赤壁市</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柳山湖镇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柳山湖镇松柏湖水库水源地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松柏湖水库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赤壁市</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赤壁镇上矶水源地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长江</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赤壁市</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黄盖湖镇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黄盖湖镇前进水库水源地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前进水库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赤壁市</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官塘驿镇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官塘驿镇双石水库水源地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双石水库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赤壁市</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神山镇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神山镇张家坝水库水源地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张家坝水库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赤壁市</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新店镇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新店镇皤河水源地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皤河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通城县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大坪乡</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大坪乡东冲水库水源地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东冲水库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通城县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北港镇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北港镇雁门水库水源地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雁门水库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通城县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石南镇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石南镇左港水库水源地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左港水库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23</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通城县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关刀镇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关刀镇云溪水库水源地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云溪水库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通城县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麦市镇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麦市镇赶鸭岭水源地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菖蒲河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通城县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四庄乡</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四庄乡龙潭水库水源地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龙潭水库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26</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通城县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塘湖镇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塘湖镇阁壁水库水源地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阁壁水库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通城县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隽水镇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隽水镇菖蒲港水源地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菖蒲港</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28</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通山县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黄沙铺镇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黄沙铺镇万家垅水库水源地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万家垅水库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通山县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大畈镇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大畈镇富水水库水源地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富水水库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通山县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慈口乡</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慈口乡富水水库水源地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富水水库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383"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通山县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燕厦乡</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燕厦乡富水水库水源地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富水水库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lang w:val="en-US" w:bidi="ar"/>
              </w:rPr>
            </w:pPr>
            <w:r>
              <w:rPr>
                <w:rFonts w:hint="eastAsia" w:ascii="仿宋_GB2312" w:hAnsi="仿宋_GB2312" w:eastAsia="仿宋_GB2312" w:cs="仿宋_GB2312"/>
                <w:color w:val="000000"/>
                <w:kern w:val="0"/>
                <w:szCs w:val="21"/>
                <w:lang w:bidi="ar"/>
              </w:rPr>
              <w:t>地下水型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32</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通山县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洪港镇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洪港镇三源河水源地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三源河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通山县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九宫山镇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九宫山镇横石河水源地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横石河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34</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通山县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闯王镇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闯王镇宝石河水源地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宝石河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通山县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厦铺镇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厦铺镇厦铺河水源地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厦铺河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通山县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南林桥镇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南林桥镇雨山水库水源地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雨山水库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通山县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杨芳林乡</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杨芳林乡寺口水库水源地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寺口水库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崇阳县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铜钟乡</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铜钟乡清水村冯家泉水源地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清水村</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地下水型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崇阳县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白霓镇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白霓镇高堤河水源地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高堤河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崇阳县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沙坪镇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沙坪镇关山水库水源地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关山水库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崇阳县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沙坪镇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沙坪镇石坳村石坳河水源地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石坳河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42</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崇阳县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肖岭乡</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肖岭乡台山水库水源地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台山水库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43</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崇阳县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高枧乡</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高枧乡高枧村麻塘水源地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东山河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44</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崇阳县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港口乡</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港口乡大东港涌水口水源地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大东港河</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45</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崇阳县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桂花泉镇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桂花泉镇龙飞村冬瓜岭水源地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山间泉水</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河流型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46</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崇阳县</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石城镇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石城镇虎爪村宝林水库水源地</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宝林水库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r>
        <w:tblPrEx>
          <w:tblCellMar>
            <w:top w:w="0" w:type="dxa"/>
            <w:left w:w="108" w:type="dxa"/>
            <w:bottom w:w="0" w:type="dxa"/>
            <w:right w:w="108" w:type="dxa"/>
          </w:tblCellMar>
        </w:tblPrEx>
        <w:trPr>
          <w:trHeight w:val="20" w:hRule="atLeast"/>
          <w:jc w:val="center"/>
        </w:trPr>
        <w:tc>
          <w:tcPr>
            <w:tcW w:w="37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47</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咸宁市</w:t>
            </w:r>
          </w:p>
        </w:tc>
        <w:tc>
          <w:tcPr>
            <w:tcW w:w="53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咸安区</w:t>
            </w:r>
          </w:p>
        </w:tc>
        <w:tc>
          <w:tcPr>
            <w:tcW w:w="606"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横沟桥镇</w:t>
            </w:r>
          </w:p>
        </w:tc>
        <w:tc>
          <w:tcPr>
            <w:tcW w:w="1740"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横沟桥镇袁铺村五一水库</w:t>
            </w:r>
          </w:p>
        </w:tc>
        <w:tc>
          <w:tcPr>
            <w:tcW w:w="601"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五一水库</w:t>
            </w:r>
          </w:p>
        </w:tc>
        <w:tc>
          <w:tcPr>
            <w:tcW w:w="599" w:type="pct"/>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水库型</w:t>
            </w:r>
          </w:p>
        </w:tc>
      </w:tr>
    </w:tbl>
    <w:p>
      <w:pPr>
        <w:spacing w:line="560" w:lineRule="exact"/>
        <w:ind w:firstLine="480" w:firstLineChars="200"/>
        <w:jc w:val="center"/>
        <w:rPr>
          <w:rFonts w:ascii="Times New Roman" w:hAnsi="Times New Roman" w:eastAsia="黑体" w:cs="Times New Roman"/>
          <w:bCs/>
          <w:sz w:val="24"/>
          <w:szCs w:val="24"/>
        </w:rPr>
      </w:pPr>
      <w:r>
        <w:rPr>
          <w:rFonts w:hint="eastAsia" w:ascii="黑体" w:hAnsi="黑体" w:eastAsia="黑体" w:cs="黑体"/>
          <w:bCs/>
          <w:sz w:val="24"/>
          <w:szCs w:val="24"/>
        </w:rPr>
        <w:t>表1</w:t>
      </w:r>
      <w:r>
        <w:rPr>
          <w:rFonts w:hint="eastAsia" w:ascii="黑体" w:hAnsi="黑体" w:eastAsia="黑体" w:cs="黑体"/>
          <w:bCs/>
          <w:sz w:val="24"/>
          <w:szCs w:val="24"/>
          <w:lang w:val="en-US" w:eastAsia="zh-CN"/>
        </w:rPr>
        <w:t>0</w:t>
      </w:r>
      <w:r>
        <w:rPr>
          <w:rFonts w:hint="eastAsia" w:ascii="黑体" w:hAnsi="黑体" w:eastAsia="黑体" w:cs="黑体"/>
          <w:bCs/>
          <w:sz w:val="24"/>
          <w:szCs w:val="24"/>
        </w:rPr>
        <w:t xml:space="preserve"> 咸宁市“千人百吨”水源地</w:t>
      </w:r>
    </w:p>
    <w:tbl>
      <w:tblPr>
        <w:tblStyle w:val="22"/>
        <w:tblW w:w="5000" w:type="pct"/>
        <w:jc w:val="center"/>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896"/>
        <w:gridCol w:w="1119"/>
        <w:gridCol w:w="2010"/>
        <w:gridCol w:w="896"/>
        <w:gridCol w:w="1676"/>
        <w:gridCol w:w="1564"/>
      </w:tblGrid>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80" w:type="pct"/>
            <w:vAlign w:val="center"/>
          </w:tcPr>
          <w:p>
            <w:pPr>
              <w:widowControl/>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507" w:type="pct"/>
            <w:vAlign w:val="center"/>
          </w:tcPr>
          <w:p>
            <w:pPr>
              <w:widowControl/>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县市区</w:t>
            </w:r>
          </w:p>
        </w:tc>
        <w:tc>
          <w:tcPr>
            <w:tcW w:w="633" w:type="pct"/>
            <w:vAlign w:val="center"/>
          </w:tcPr>
          <w:p>
            <w:pPr>
              <w:widowControl/>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所在村庄</w:t>
            </w:r>
          </w:p>
        </w:tc>
        <w:tc>
          <w:tcPr>
            <w:tcW w:w="1137" w:type="pct"/>
            <w:vAlign w:val="center"/>
          </w:tcPr>
          <w:p>
            <w:pPr>
              <w:widowControl/>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水源地名称</w:t>
            </w:r>
          </w:p>
        </w:tc>
        <w:tc>
          <w:tcPr>
            <w:tcW w:w="507" w:type="pct"/>
            <w:vAlign w:val="center"/>
          </w:tcPr>
          <w:p>
            <w:pPr>
              <w:widowControl/>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水源地</w:t>
            </w:r>
          </w:p>
          <w:p>
            <w:pPr>
              <w:widowControl/>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类型</w:t>
            </w:r>
          </w:p>
        </w:tc>
        <w:tc>
          <w:tcPr>
            <w:tcW w:w="948" w:type="pct"/>
            <w:vAlign w:val="center"/>
          </w:tcPr>
          <w:p>
            <w:pPr>
              <w:widowControl/>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东  经</w:t>
            </w:r>
          </w:p>
        </w:tc>
        <w:tc>
          <w:tcPr>
            <w:tcW w:w="885" w:type="pct"/>
            <w:vAlign w:val="center"/>
          </w:tcPr>
          <w:p>
            <w:pPr>
              <w:widowControl/>
              <w:spacing w:line="40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北  纬</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507"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咸安区</w:t>
            </w:r>
          </w:p>
        </w:tc>
        <w:tc>
          <w:tcPr>
            <w:tcW w:w="633"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鸣泉村</w:t>
            </w:r>
          </w:p>
        </w:tc>
        <w:tc>
          <w:tcPr>
            <w:tcW w:w="1137"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鸣水泉水库</w:t>
            </w:r>
          </w:p>
        </w:tc>
        <w:tc>
          <w:tcPr>
            <w:tcW w:w="507"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114°18′31″</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29°43′3″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Merge w:val="continue"/>
            <w:vAlign w:val="center"/>
          </w:tcPr>
          <w:p>
            <w:pPr>
              <w:spacing w:line="400" w:lineRule="exact"/>
              <w:rPr>
                <w:rFonts w:ascii="仿宋_GB2312" w:hAnsi="仿宋_GB2312" w:eastAsia="仿宋_GB2312" w:cs="仿宋_GB2312"/>
                <w:szCs w:val="21"/>
              </w:rPr>
            </w:pP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Merge w:val="continue"/>
            <w:vAlign w:val="center"/>
          </w:tcPr>
          <w:p>
            <w:pPr>
              <w:spacing w:line="400" w:lineRule="exact"/>
              <w:rPr>
                <w:rFonts w:ascii="仿宋_GB2312" w:hAnsi="仿宋_GB2312" w:eastAsia="仿宋_GB2312" w:cs="仿宋_GB2312"/>
                <w:szCs w:val="21"/>
              </w:rPr>
            </w:pPr>
          </w:p>
        </w:tc>
        <w:tc>
          <w:tcPr>
            <w:tcW w:w="1137" w:type="pct"/>
            <w:vMerge w:val="continue"/>
            <w:vAlign w:val="center"/>
          </w:tcPr>
          <w:p>
            <w:pPr>
              <w:spacing w:line="400" w:lineRule="exact"/>
              <w:rPr>
                <w:rFonts w:ascii="仿宋_GB2312" w:hAnsi="仿宋_GB2312" w:eastAsia="仿宋_GB2312" w:cs="仿宋_GB2312"/>
                <w:szCs w:val="21"/>
              </w:rPr>
            </w:pPr>
          </w:p>
        </w:tc>
        <w:tc>
          <w:tcPr>
            <w:tcW w:w="507" w:type="pct"/>
            <w:vMerge w:val="continue"/>
            <w:vAlign w:val="center"/>
          </w:tcPr>
          <w:p>
            <w:pPr>
              <w:spacing w:line="400" w:lineRule="exact"/>
              <w:rPr>
                <w:rFonts w:ascii="仿宋_GB2312" w:hAnsi="仿宋_GB2312" w:eastAsia="仿宋_GB2312" w:cs="仿宋_GB2312"/>
                <w:szCs w:val="21"/>
              </w:rPr>
            </w:pP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114°17′49″</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29°43′7″</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金鸡山村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董家垅水库</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114°29′20″</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29°46′37″</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大桥村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中坑刘水库</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114°12′25″</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29°44′3″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盘源村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仙人墩溪流</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114°28′53"</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29°46′56"</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507"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港南村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港南村供水工程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113°59′'41"</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29°57′27"</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两湖村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三门村供水二工程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114°00′44"</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29°56′43"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两湖村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西凉村供水工程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114°01′55"</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29°57′13"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廖家桥村</w:t>
            </w:r>
          </w:p>
        </w:tc>
        <w:tc>
          <w:tcPr>
            <w:tcW w:w="113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廖家桥村供水</w:t>
            </w:r>
          </w:p>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二工程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113°51′32"</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29°52′03"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507"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633"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芳世湾村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芳世湾水厂</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114°3′6″</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29°39′54″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随阳村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随阳三门水厂</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114°8′35″</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29°40′26″</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507"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通城县</w:t>
            </w:r>
          </w:p>
        </w:tc>
        <w:tc>
          <w:tcPr>
            <w:tcW w:w="633" w:type="pct"/>
            <w:vAlign w:val="center"/>
          </w:tcPr>
          <w:p>
            <w:pPr>
              <w:pStyle w:val="35"/>
              <w:spacing w:line="400" w:lineRule="exact"/>
              <w:rPr>
                <w:rFonts w:ascii="仿宋_GB2312" w:hAnsi="仿宋_GB2312" w:cs="仿宋_GB2312"/>
                <w:kern w:val="0"/>
                <w:szCs w:val="21"/>
              </w:rPr>
            </w:pPr>
            <w:r>
              <w:rPr>
                <w:rFonts w:hint="eastAsia" w:ascii="仿宋_GB2312" w:hAnsi="仿宋_GB2312" w:cs="仿宋_GB2312"/>
                <w:szCs w:val="21"/>
              </w:rPr>
              <w:t>大溪村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大溪村供水工程</w:t>
            </w:r>
          </w:p>
        </w:tc>
        <w:tc>
          <w:tcPr>
            <w:tcW w:w="507" w:type="pct"/>
            <w:vAlign w:val="center"/>
          </w:tcPr>
          <w:p>
            <w:pPr>
              <w:pStyle w:val="35"/>
              <w:spacing w:line="400" w:lineRule="exact"/>
              <w:rPr>
                <w:rFonts w:ascii="仿宋_GB2312" w:hAnsi="仿宋_GB2312" w:cs="仿宋_GB2312"/>
                <w:kern w:val="0"/>
                <w:szCs w:val="21"/>
              </w:rPr>
            </w:pPr>
            <w:r>
              <w:rPr>
                <w:rFonts w:hint="eastAsia" w:ascii="仿宋_GB2312" w:hAnsi="仿宋_GB2312" w:cs="仿宋_GB2312"/>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113°59′33"</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29°20′43"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ascii="仿宋_GB2312" w:hAnsi="仿宋_GB2312" w:cs="仿宋_GB2312"/>
                <w:kern w:val="0"/>
                <w:szCs w:val="21"/>
              </w:rPr>
            </w:pPr>
            <w:r>
              <w:rPr>
                <w:rFonts w:hint="eastAsia" w:ascii="仿宋_GB2312" w:hAnsi="仿宋_GB2312" w:cs="仿宋_GB2312"/>
                <w:szCs w:val="21"/>
              </w:rPr>
              <w:t>龙门村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龙门村供水工程</w:t>
            </w:r>
          </w:p>
        </w:tc>
        <w:tc>
          <w:tcPr>
            <w:tcW w:w="507" w:type="pct"/>
            <w:vAlign w:val="center"/>
          </w:tcPr>
          <w:p>
            <w:pPr>
              <w:pStyle w:val="35"/>
              <w:spacing w:line="400" w:lineRule="exact"/>
              <w:rPr>
                <w:rFonts w:ascii="仿宋_GB2312" w:hAnsi="仿宋_GB2312" w:cs="仿宋_GB2312"/>
                <w:kern w:val="0"/>
                <w:szCs w:val="21"/>
              </w:rPr>
            </w:pPr>
            <w:r>
              <w:rPr>
                <w:rFonts w:hint="eastAsia" w:ascii="仿宋_GB2312" w:hAnsi="仿宋_GB2312" w:cs="仿宋_GB2312"/>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113°38′19"</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29°16′49"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ascii="仿宋_GB2312" w:hAnsi="仿宋_GB2312" w:cs="仿宋_GB2312"/>
                <w:kern w:val="0"/>
                <w:szCs w:val="21"/>
              </w:rPr>
            </w:pPr>
            <w:r>
              <w:rPr>
                <w:rFonts w:hint="eastAsia" w:ascii="仿宋_GB2312" w:hAnsi="仿宋_GB2312" w:cs="仿宋_GB2312"/>
                <w:szCs w:val="21"/>
              </w:rPr>
              <w:t>韩岭村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韩岭村供水工程</w:t>
            </w:r>
          </w:p>
        </w:tc>
        <w:tc>
          <w:tcPr>
            <w:tcW w:w="507" w:type="pct"/>
            <w:vAlign w:val="center"/>
          </w:tcPr>
          <w:p>
            <w:pPr>
              <w:pStyle w:val="35"/>
              <w:spacing w:line="400" w:lineRule="exact"/>
              <w:rPr>
                <w:rFonts w:ascii="仿宋_GB2312" w:hAnsi="仿宋_GB2312" w:cs="仿宋_GB2312"/>
                <w:kern w:val="0"/>
                <w:szCs w:val="21"/>
              </w:rPr>
            </w:pPr>
            <w:r>
              <w:rPr>
                <w:rFonts w:hint="eastAsia" w:ascii="仿宋_GB2312" w:hAnsi="仿宋_GB2312" w:cs="仿宋_GB2312"/>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113°43′52"</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29°21′37"</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内冲村</w:t>
            </w:r>
          </w:p>
        </w:tc>
        <w:tc>
          <w:tcPr>
            <w:tcW w:w="113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内冲村供水工程</w:t>
            </w:r>
          </w:p>
        </w:tc>
        <w:tc>
          <w:tcPr>
            <w:tcW w:w="507" w:type="pct"/>
            <w:vAlign w:val="center"/>
          </w:tcPr>
          <w:p>
            <w:pPr>
              <w:pStyle w:val="35"/>
              <w:spacing w:line="400" w:lineRule="exact"/>
              <w:rPr>
                <w:rFonts w:ascii="仿宋_GB2312" w:hAnsi="仿宋_GB2312" w:cs="仿宋_GB2312"/>
                <w:kern w:val="0"/>
                <w:szCs w:val="21"/>
              </w:rPr>
            </w:pPr>
            <w:r>
              <w:rPr>
                <w:rFonts w:hint="eastAsia" w:ascii="仿宋_GB2312" w:hAnsi="仿宋_GB2312" w:cs="仿宋_GB2312"/>
                <w:szCs w:val="21"/>
              </w:rPr>
              <w:t>水库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113°42′20"</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29°22′44"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棋盘村</w:t>
            </w:r>
          </w:p>
        </w:tc>
        <w:tc>
          <w:tcPr>
            <w:tcW w:w="113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棋盘村供水工程</w:t>
            </w:r>
          </w:p>
        </w:tc>
        <w:tc>
          <w:tcPr>
            <w:tcW w:w="507"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113°53′3"</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29°6′40"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程坳村</w:t>
            </w:r>
          </w:p>
        </w:tc>
        <w:tc>
          <w:tcPr>
            <w:tcW w:w="113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程坳村供水工程</w:t>
            </w:r>
          </w:p>
        </w:tc>
        <w:tc>
          <w:tcPr>
            <w:tcW w:w="507"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113°42′22"</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29°6′22"</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图垅村</w:t>
            </w:r>
          </w:p>
        </w:tc>
        <w:tc>
          <w:tcPr>
            <w:tcW w:w="113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图垅村供水工程</w:t>
            </w:r>
          </w:p>
        </w:tc>
        <w:tc>
          <w:tcPr>
            <w:tcW w:w="507"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113°57′31"</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29°11′44"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望湖村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望湖村供水工程</w:t>
            </w:r>
          </w:p>
        </w:tc>
        <w:tc>
          <w:tcPr>
            <w:tcW w:w="507" w:type="pct"/>
            <w:vAlign w:val="center"/>
          </w:tcPr>
          <w:p>
            <w:pPr>
              <w:pStyle w:val="35"/>
              <w:spacing w:line="400" w:lineRule="exact"/>
              <w:rPr>
                <w:rFonts w:ascii="仿宋_GB2312" w:hAnsi="仿宋_GB2312" w:cs="仿宋_GB2312"/>
                <w:kern w:val="0"/>
                <w:szCs w:val="21"/>
              </w:rPr>
            </w:pPr>
            <w:r>
              <w:rPr>
                <w:rFonts w:hint="eastAsia" w:ascii="仿宋_GB2312" w:hAnsi="仿宋_GB2312" w:cs="仿宋_GB2312"/>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114°2′11"</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29°12′27"</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左港村</w:t>
            </w:r>
          </w:p>
        </w:tc>
        <w:tc>
          <w:tcPr>
            <w:tcW w:w="113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左港村供水工程</w:t>
            </w:r>
          </w:p>
        </w:tc>
        <w:tc>
          <w:tcPr>
            <w:tcW w:w="507"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113°41′38"</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29°11′44"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治全村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治全村供水工程</w:t>
            </w:r>
          </w:p>
        </w:tc>
        <w:tc>
          <w:tcPr>
            <w:tcW w:w="507" w:type="pct"/>
            <w:vAlign w:val="center"/>
          </w:tcPr>
          <w:p>
            <w:pPr>
              <w:pStyle w:val="35"/>
              <w:spacing w:line="400" w:lineRule="exact"/>
              <w:rPr>
                <w:rFonts w:ascii="仿宋_GB2312" w:hAnsi="仿宋_GB2312" w:cs="仿宋_GB2312"/>
                <w:kern w:val="0"/>
                <w:szCs w:val="21"/>
              </w:rPr>
            </w:pPr>
            <w:r>
              <w:rPr>
                <w:rFonts w:hint="eastAsia" w:ascii="仿宋_GB2312" w:hAnsi="仿宋_GB2312" w:cs="仿宋_GB2312"/>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113°40′5"</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29°9′3"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507"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崇阳县</w:t>
            </w:r>
          </w:p>
        </w:tc>
        <w:tc>
          <w:tcPr>
            <w:tcW w:w="633"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松柏村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四组洋塘</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113°56′46″</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29°36′37″</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龙泉村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龙泉水厂</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114°8′27″</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29°35′45″</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23</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柏岭村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杨林桥水库</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114°12′29″</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29°21′46″</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Merge w:val="restar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塘口村</w:t>
            </w:r>
          </w:p>
        </w:tc>
        <w:tc>
          <w:tcPr>
            <w:tcW w:w="1137"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长源</w:t>
            </w:r>
          </w:p>
        </w:tc>
        <w:tc>
          <w:tcPr>
            <w:tcW w:w="507"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highlight w:val="yellow"/>
              </w:rPr>
            </w:pPr>
            <w:r>
              <w:rPr>
                <w:rFonts w:hint="eastAsia" w:ascii="仿宋_GB2312" w:hAnsi="仿宋_GB2312" w:eastAsia="仿宋_GB2312" w:cs="仿宋_GB2312"/>
                <w:color w:val="000000"/>
                <w:kern w:val="0"/>
                <w:szCs w:val="21"/>
              </w:rPr>
              <w:t>114°16′10″</w:t>
            </w:r>
          </w:p>
        </w:tc>
        <w:tc>
          <w:tcPr>
            <w:tcW w:w="885" w:type="pct"/>
            <w:vAlign w:val="center"/>
          </w:tcPr>
          <w:p>
            <w:pPr>
              <w:widowControl/>
              <w:spacing w:line="400" w:lineRule="exact"/>
              <w:jc w:val="center"/>
              <w:rPr>
                <w:rFonts w:ascii="仿宋_GB2312" w:hAnsi="仿宋_GB2312" w:eastAsia="仿宋_GB2312" w:cs="仿宋_GB2312"/>
                <w:kern w:val="0"/>
                <w:szCs w:val="21"/>
                <w:highlight w:val="yellow"/>
              </w:rPr>
            </w:pPr>
            <w:r>
              <w:rPr>
                <w:rFonts w:hint="eastAsia" w:ascii="仿宋_GB2312" w:hAnsi="仿宋_GB2312" w:eastAsia="仿宋_GB2312" w:cs="仿宋_GB2312"/>
                <w:color w:val="000000"/>
                <w:kern w:val="0"/>
                <w:szCs w:val="21"/>
              </w:rPr>
              <w:t>29°24′28″</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Merge w:val="continue"/>
            <w:vAlign w:val="center"/>
          </w:tcPr>
          <w:p>
            <w:pPr>
              <w:spacing w:line="400" w:lineRule="exact"/>
              <w:rPr>
                <w:rFonts w:ascii="仿宋_GB2312" w:hAnsi="仿宋_GB2312" w:eastAsia="仿宋_GB2312" w:cs="仿宋_GB2312"/>
                <w:szCs w:val="21"/>
              </w:rPr>
            </w:pP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Merge w:val="continue"/>
            <w:vAlign w:val="center"/>
          </w:tcPr>
          <w:p>
            <w:pPr>
              <w:spacing w:line="400" w:lineRule="exact"/>
              <w:rPr>
                <w:rFonts w:ascii="仿宋_GB2312" w:hAnsi="仿宋_GB2312" w:eastAsia="仿宋_GB2312" w:cs="仿宋_GB2312"/>
                <w:szCs w:val="21"/>
              </w:rPr>
            </w:pPr>
          </w:p>
        </w:tc>
        <w:tc>
          <w:tcPr>
            <w:tcW w:w="1137" w:type="pct"/>
            <w:vMerge w:val="continue"/>
            <w:vAlign w:val="center"/>
          </w:tcPr>
          <w:p>
            <w:pPr>
              <w:spacing w:line="400" w:lineRule="exact"/>
              <w:rPr>
                <w:rFonts w:ascii="仿宋_GB2312" w:hAnsi="仿宋_GB2312" w:eastAsia="仿宋_GB2312" w:cs="仿宋_GB2312"/>
                <w:szCs w:val="21"/>
              </w:rPr>
            </w:pPr>
          </w:p>
        </w:tc>
        <w:tc>
          <w:tcPr>
            <w:tcW w:w="507" w:type="pct"/>
            <w:vMerge w:val="continue"/>
            <w:vAlign w:val="center"/>
          </w:tcPr>
          <w:p>
            <w:pPr>
              <w:spacing w:line="400" w:lineRule="exact"/>
              <w:rPr>
                <w:rFonts w:ascii="仿宋_GB2312" w:hAnsi="仿宋_GB2312" w:eastAsia="仿宋_GB2312" w:cs="仿宋_GB2312"/>
                <w:szCs w:val="21"/>
              </w:rPr>
            </w:pPr>
          </w:p>
        </w:tc>
        <w:tc>
          <w:tcPr>
            <w:tcW w:w="948" w:type="pct"/>
            <w:vAlign w:val="center"/>
          </w:tcPr>
          <w:p>
            <w:pPr>
              <w:widowControl/>
              <w:spacing w:line="400" w:lineRule="exact"/>
              <w:jc w:val="center"/>
              <w:rPr>
                <w:rFonts w:ascii="仿宋_GB2312" w:hAnsi="仿宋_GB2312" w:eastAsia="仿宋_GB2312" w:cs="仿宋_GB2312"/>
                <w:kern w:val="0"/>
                <w:szCs w:val="21"/>
                <w:highlight w:val="yellow"/>
              </w:rPr>
            </w:pPr>
            <w:r>
              <w:rPr>
                <w:rFonts w:hint="eastAsia" w:ascii="仿宋_GB2312" w:hAnsi="仿宋_GB2312" w:eastAsia="仿宋_GB2312" w:cs="仿宋_GB2312"/>
                <w:color w:val="000000"/>
                <w:kern w:val="0"/>
                <w:szCs w:val="21"/>
              </w:rPr>
              <w:t>114°16′9″</w:t>
            </w:r>
          </w:p>
        </w:tc>
        <w:tc>
          <w:tcPr>
            <w:tcW w:w="885" w:type="pct"/>
            <w:vAlign w:val="center"/>
          </w:tcPr>
          <w:p>
            <w:pPr>
              <w:widowControl/>
              <w:spacing w:line="400" w:lineRule="exact"/>
              <w:jc w:val="center"/>
              <w:rPr>
                <w:rFonts w:ascii="仿宋_GB2312" w:hAnsi="仿宋_GB2312" w:eastAsia="仿宋_GB2312" w:cs="仿宋_GB2312"/>
                <w:kern w:val="0"/>
                <w:szCs w:val="21"/>
                <w:highlight w:val="yellow"/>
              </w:rPr>
            </w:pPr>
            <w:r>
              <w:rPr>
                <w:rFonts w:hint="eastAsia" w:ascii="仿宋_GB2312" w:hAnsi="仿宋_GB2312" w:eastAsia="仿宋_GB2312" w:cs="仿宋_GB2312"/>
                <w:color w:val="000000"/>
                <w:kern w:val="0"/>
                <w:szCs w:val="21"/>
              </w:rPr>
              <w:t>29°24′34″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Merge w:val="continue"/>
            <w:vAlign w:val="center"/>
          </w:tcPr>
          <w:p>
            <w:pPr>
              <w:spacing w:line="400" w:lineRule="exact"/>
              <w:rPr>
                <w:rFonts w:ascii="仿宋_GB2312" w:hAnsi="仿宋_GB2312" w:eastAsia="仿宋_GB2312" w:cs="仿宋_GB2312"/>
                <w:szCs w:val="21"/>
              </w:rPr>
            </w:pP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Merge w:val="continue"/>
            <w:vAlign w:val="center"/>
          </w:tcPr>
          <w:p>
            <w:pPr>
              <w:spacing w:line="400" w:lineRule="exact"/>
              <w:rPr>
                <w:rFonts w:ascii="仿宋_GB2312" w:hAnsi="仿宋_GB2312" w:eastAsia="仿宋_GB2312" w:cs="仿宋_GB2312"/>
                <w:szCs w:val="21"/>
              </w:rPr>
            </w:pPr>
          </w:p>
        </w:tc>
        <w:tc>
          <w:tcPr>
            <w:tcW w:w="1137" w:type="pct"/>
            <w:vMerge w:val="continue"/>
            <w:vAlign w:val="center"/>
          </w:tcPr>
          <w:p>
            <w:pPr>
              <w:spacing w:line="400" w:lineRule="exact"/>
              <w:rPr>
                <w:rFonts w:ascii="仿宋_GB2312" w:hAnsi="仿宋_GB2312" w:eastAsia="仿宋_GB2312" w:cs="仿宋_GB2312"/>
                <w:szCs w:val="21"/>
              </w:rPr>
            </w:pPr>
          </w:p>
        </w:tc>
        <w:tc>
          <w:tcPr>
            <w:tcW w:w="507" w:type="pct"/>
            <w:vMerge w:val="continue"/>
            <w:vAlign w:val="center"/>
          </w:tcPr>
          <w:p>
            <w:pPr>
              <w:spacing w:line="400" w:lineRule="exact"/>
              <w:rPr>
                <w:rFonts w:ascii="仿宋_GB2312" w:hAnsi="仿宋_GB2312" w:eastAsia="仿宋_GB2312" w:cs="仿宋_GB2312"/>
                <w:szCs w:val="21"/>
              </w:rPr>
            </w:pPr>
          </w:p>
        </w:tc>
        <w:tc>
          <w:tcPr>
            <w:tcW w:w="948" w:type="pct"/>
            <w:vAlign w:val="center"/>
          </w:tcPr>
          <w:p>
            <w:pPr>
              <w:widowControl/>
              <w:spacing w:line="400" w:lineRule="exact"/>
              <w:jc w:val="center"/>
              <w:rPr>
                <w:rFonts w:ascii="仿宋_GB2312" w:hAnsi="仿宋_GB2312" w:eastAsia="仿宋_GB2312" w:cs="仿宋_GB2312"/>
                <w:kern w:val="0"/>
                <w:szCs w:val="21"/>
                <w:highlight w:val="yellow"/>
              </w:rPr>
            </w:pPr>
            <w:r>
              <w:rPr>
                <w:rFonts w:hint="eastAsia" w:ascii="仿宋_GB2312" w:hAnsi="仿宋_GB2312" w:eastAsia="仿宋_GB2312" w:cs="仿宋_GB2312"/>
                <w:color w:val="000000"/>
                <w:kern w:val="0"/>
                <w:szCs w:val="21"/>
              </w:rPr>
              <w:t>114°16′29″</w:t>
            </w:r>
          </w:p>
        </w:tc>
        <w:tc>
          <w:tcPr>
            <w:tcW w:w="885" w:type="pct"/>
            <w:vAlign w:val="center"/>
          </w:tcPr>
          <w:p>
            <w:pPr>
              <w:widowControl/>
              <w:spacing w:line="400" w:lineRule="exact"/>
              <w:jc w:val="center"/>
              <w:rPr>
                <w:rFonts w:ascii="仿宋_GB2312" w:hAnsi="仿宋_GB2312" w:eastAsia="仿宋_GB2312" w:cs="仿宋_GB2312"/>
                <w:kern w:val="0"/>
                <w:szCs w:val="21"/>
                <w:highlight w:val="yellow"/>
              </w:rPr>
            </w:pPr>
            <w:r>
              <w:rPr>
                <w:rFonts w:hint="eastAsia" w:ascii="仿宋_GB2312" w:hAnsi="仿宋_GB2312" w:eastAsia="仿宋_GB2312" w:cs="仿宋_GB2312"/>
                <w:color w:val="000000"/>
                <w:kern w:val="0"/>
                <w:szCs w:val="21"/>
              </w:rPr>
              <w:t>29°24′21″</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大岭村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石窝泉</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114°9′31″</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29°24′26″</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26</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独石村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宋家岭</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114°7′54″</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29°28′59″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27</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hint="default" w:ascii="仿宋_GB2312" w:hAnsi="仿宋_GB2312" w:eastAsia="仿宋_GB2312" w:cs="仿宋_GB2312"/>
                <w:szCs w:val="21"/>
                <w:lang w:val="en-US" w:eastAsia="zh-CN"/>
              </w:rPr>
            </w:pPr>
            <w:r>
              <w:rPr>
                <w:rFonts w:hint="eastAsia" w:ascii="仿宋_GB2312" w:hAnsi="仿宋_GB2312" w:cs="仿宋_GB2312"/>
                <w:szCs w:val="21"/>
                <w:lang w:val="en-US" w:eastAsia="zh-CN"/>
              </w:rPr>
              <w:t>游家村</w:t>
            </w:r>
          </w:p>
        </w:tc>
        <w:tc>
          <w:tcPr>
            <w:tcW w:w="1137" w:type="pct"/>
            <w:vAlign w:val="center"/>
          </w:tcPr>
          <w:p>
            <w:pPr>
              <w:widowControl/>
              <w:spacing w:line="4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抢水崖</w:t>
            </w:r>
          </w:p>
        </w:tc>
        <w:tc>
          <w:tcPr>
            <w:tcW w:w="507" w:type="pct"/>
            <w:vAlign w:val="center"/>
          </w:tcPr>
          <w:p>
            <w:pPr>
              <w:widowControl/>
              <w:spacing w:line="4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地下水</w:t>
            </w:r>
          </w:p>
        </w:tc>
        <w:tc>
          <w:tcPr>
            <w:tcW w:w="1676" w:type="dxa"/>
            <w:vAlign w:val="center"/>
          </w:tcPr>
          <w:p>
            <w:pPr>
              <w:widowControl/>
              <w:spacing w:line="40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114°</w:t>
            </w:r>
            <w:r>
              <w:rPr>
                <w:rFonts w:hint="eastAsia" w:ascii="仿宋_GB2312" w:hAnsi="仿宋_GB2312" w:eastAsia="仿宋_GB2312" w:cs="仿宋_GB2312"/>
                <w:color w:val="000000"/>
                <w:kern w:val="0"/>
                <w:szCs w:val="21"/>
                <w:lang w:val="en-US" w:eastAsia="zh-CN"/>
              </w:rPr>
              <w:t>12</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lang w:val="en-US" w:eastAsia="zh-CN"/>
              </w:rPr>
              <w:t>11</w:t>
            </w:r>
            <w:r>
              <w:rPr>
                <w:rFonts w:hint="eastAsia" w:ascii="仿宋_GB2312" w:hAnsi="仿宋_GB2312" w:eastAsia="仿宋_GB2312" w:cs="仿宋_GB2312"/>
                <w:color w:val="000000"/>
                <w:kern w:val="0"/>
                <w:szCs w:val="21"/>
              </w:rPr>
              <w:t>″</w:t>
            </w:r>
          </w:p>
        </w:tc>
        <w:tc>
          <w:tcPr>
            <w:tcW w:w="1564" w:type="dxa"/>
            <w:vAlign w:val="center"/>
          </w:tcPr>
          <w:p>
            <w:pPr>
              <w:widowControl/>
              <w:spacing w:line="40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29°2</w:t>
            </w:r>
            <w:r>
              <w:rPr>
                <w:rFonts w:hint="eastAsia" w:ascii="仿宋_GB2312" w:hAnsi="仿宋_GB2312" w:eastAsia="仿宋_GB2312" w:cs="仿宋_GB2312"/>
                <w:color w:val="000000"/>
                <w:kern w:val="0"/>
                <w:szCs w:val="21"/>
                <w:lang w:val="en-US" w:eastAsia="zh-CN"/>
              </w:rPr>
              <w:t>7</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lang w:val="en-US" w:eastAsia="zh-CN"/>
              </w:rPr>
              <w:t>36</w:t>
            </w:r>
            <w:r>
              <w:rPr>
                <w:rFonts w:hint="eastAsia" w:ascii="仿宋_GB2312" w:hAnsi="仿宋_GB2312" w:eastAsia="仿宋_GB2312" w:cs="仿宋_GB2312"/>
                <w:color w:val="000000"/>
                <w:kern w:val="0"/>
                <w:szCs w:val="21"/>
              </w:rPr>
              <w:t>″</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28</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西庄村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西庄</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113°55′43″</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29°32′50″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29</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田铺村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大石沟大塘</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114°16′45″</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29°38′58″</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30</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Merge w:val="restar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路口社区</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咸宁水库</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114°11′59″</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29°34′43″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31</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Merge w:val="continue"/>
            <w:vAlign w:val="center"/>
          </w:tcPr>
          <w:p>
            <w:pPr>
              <w:spacing w:line="400" w:lineRule="exact"/>
              <w:rPr>
                <w:rFonts w:ascii="仿宋_GB2312" w:hAnsi="仿宋_GB2312" w:eastAsia="仿宋_GB2312" w:cs="仿宋_GB2312"/>
                <w:szCs w:val="21"/>
              </w:rPr>
            </w:pP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青窝</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114°12′19″</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29°34′3″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32</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pStyle w:val="35"/>
              <w:spacing w:line="400" w:lineRule="exact"/>
              <w:rPr>
                <w:rFonts w:ascii="仿宋_GB2312" w:hAnsi="仿宋_GB2312" w:cs="仿宋_GB2312"/>
                <w:szCs w:val="21"/>
              </w:rPr>
            </w:pPr>
            <w:r>
              <w:rPr>
                <w:rFonts w:hint="eastAsia" w:ascii="仿宋_GB2312" w:hAnsi="仿宋_GB2312" w:cs="仿宋_GB2312"/>
                <w:szCs w:val="21"/>
              </w:rPr>
              <w:t>枫树村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泉塘水库</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113°54′43″</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29°22′56″</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33</w:t>
            </w:r>
          </w:p>
        </w:tc>
        <w:tc>
          <w:tcPr>
            <w:tcW w:w="507"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通山县</w:t>
            </w: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车田村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车田村供水工程</w:t>
            </w:r>
          </w:p>
        </w:tc>
        <w:tc>
          <w:tcPr>
            <w:tcW w:w="507" w:type="pct"/>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114°47′51″</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29°26′38″</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34</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郭源村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郭源村供水工程</w:t>
            </w:r>
          </w:p>
        </w:tc>
        <w:tc>
          <w:tcPr>
            <w:tcW w:w="507" w:type="pct"/>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114°45′17″</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29°26′6″</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35</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东坪村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东坪村供水工程</w:t>
            </w:r>
          </w:p>
        </w:tc>
        <w:tc>
          <w:tcPr>
            <w:tcW w:w="507" w:type="pct"/>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114°51′58″</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29°27′26″</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36</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茅田河村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茅田河村供水工程</w:t>
            </w:r>
          </w:p>
        </w:tc>
        <w:tc>
          <w:tcPr>
            <w:tcW w:w="507" w:type="pct"/>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114°50′22″</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29°25′49″</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37</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三源村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三源村供水工程</w:t>
            </w:r>
          </w:p>
        </w:tc>
        <w:tc>
          <w:tcPr>
            <w:tcW w:w="507" w:type="pct"/>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114°55′1″</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29°28′3″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38</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Merge w:val="restar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沙店村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东岭供水工程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114°50′31″</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29°26′44″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39</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Merge w:val="continue"/>
            <w:vAlign w:val="center"/>
          </w:tcPr>
          <w:p>
            <w:pPr>
              <w:spacing w:line="400" w:lineRule="exact"/>
              <w:rPr>
                <w:rFonts w:ascii="仿宋_GB2312" w:hAnsi="仿宋_GB2312" w:eastAsia="仿宋_GB2312" w:cs="仿宋_GB2312"/>
                <w:szCs w:val="21"/>
              </w:rPr>
            </w:pP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横岭供水工程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114°50′54″</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29°26′45″</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40</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西坑村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西坑村供水工程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114°48′24″</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29°24′42″</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41</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杨林村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杨林村供水工程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114°48′24″</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29°24′42″</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42</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富有村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富有村供水工程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114°39′41″</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29°34′30″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43</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大坪村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大坪村供水工程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114°18′30″</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29°33′54″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44</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洞口罗村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洞口罗村供水工程</w:t>
            </w:r>
          </w:p>
        </w:tc>
        <w:tc>
          <w:tcPr>
            <w:tcW w:w="507" w:type="pct"/>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114°26′22″</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29°40′20″</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45</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山口村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山口村供水工程</w:t>
            </w:r>
          </w:p>
        </w:tc>
        <w:tc>
          <w:tcPr>
            <w:tcW w:w="507" w:type="pct"/>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114°24′38″</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29°39′33″</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46</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杨狮坑村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杨狮坑村供水工程</w:t>
            </w:r>
          </w:p>
        </w:tc>
        <w:tc>
          <w:tcPr>
            <w:tcW w:w="507" w:type="pct"/>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114°24′1″</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29°38′46″</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47</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沙堤村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沙堤村供水工程</w:t>
            </w:r>
          </w:p>
        </w:tc>
        <w:tc>
          <w:tcPr>
            <w:tcW w:w="507" w:type="pct"/>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水库</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114°30′48″</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29°37′54″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48</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泉港村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泉港村供水工程</w:t>
            </w:r>
          </w:p>
        </w:tc>
        <w:tc>
          <w:tcPr>
            <w:tcW w:w="507" w:type="pct"/>
            <w:vAlign w:val="center"/>
          </w:tcPr>
          <w:p>
            <w:pPr>
              <w:autoSpaceDE w:val="0"/>
              <w:autoSpaceDN w:val="0"/>
              <w:adjustRightIn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114°37′2″</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29°33′52″</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49</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高坑村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高坑村供水工程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114°31′26″</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29°40′8″</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50</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泉塘村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泉山寺供水工程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地下水</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114°40′58″</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29°50′34″</w:t>
            </w:r>
          </w:p>
        </w:tc>
      </w:tr>
      <w:tr>
        <w:tblPrEx>
          <w:tblBorders>
            <w:top w:val="single" w:color="auto" w:sz="4" w:space="0"/>
            <w:left w:val="single" w:color="auto" w:sz="2" w:space="0"/>
            <w:bottom w:val="single" w:color="auto" w:sz="4"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vAlign w:val="center"/>
          </w:tcPr>
          <w:p>
            <w:pPr>
              <w:widowControl/>
              <w:spacing w:line="40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51</w:t>
            </w:r>
          </w:p>
        </w:tc>
        <w:tc>
          <w:tcPr>
            <w:tcW w:w="507" w:type="pct"/>
            <w:vMerge w:val="continue"/>
            <w:vAlign w:val="center"/>
          </w:tcPr>
          <w:p>
            <w:pPr>
              <w:spacing w:line="400" w:lineRule="exact"/>
              <w:rPr>
                <w:rFonts w:ascii="仿宋_GB2312" w:hAnsi="仿宋_GB2312" w:eastAsia="仿宋_GB2312" w:cs="仿宋_GB2312"/>
                <w:szCs w:val="21"/>
              </w:rPr>
            </w:pPr>
          </w:p>
        </w:tc>
        <w:tc>
          <w:tcPr>
            <w:tcW w:w="633" w:type="pct"/>
            <w:vAlign w:val="center"/>
          </w:tcPr>
          <w:p>
            <w:pPr>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双河村</w:t>
            </w:r>
          </w:p>
        </w:tc>
        <w:tc>
          <w:tcPr>
            <w:tcW w:w="113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双河村供水工程</w:t>
            </w:r>
          </w:p>
        </w:tc>
        <w:tc>
          <w:tcPr>
            <w:tcW w:w="507"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河流</w:t>
            </w:r>
          </w:p>
        </w:tc>
        <w:tc>
          <w:tcPr>
            <w:tcW w:w="948"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114°25′30″</w:t>
            </w:r>
          </w:p>
        </w:tc>
        <w:tc>
          <w:tcPr>
            <w:tcW w:w="885" w:type="pct"/>
            <w:vAlign w:val="center"/>
          </w:tcPr>
          <w:p>
            <w:pPr>
              <w:widowControl/>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29°28′38"</w:t>
            </w:r>
          </w:p>
        </w:tc>
      </w:tr>
    </w:tbl>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2.监测项目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（1）地表水饮用水水源地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《地表水环境质量标准》（GB 3838-2002）表1的基本项目（24项）、表2的补充项目（5项），共29项。河流型每次增测电导率和浊度，湖库型每次增测电导率、浊度、透明度和叶绿素a。</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（2）地下水饮用水水源地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《地下水质量标准》（GB/T 14848-2017）表1中39项常规指标。</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各地可根据当地污染实际情况，适当增加区域特征污染物。</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3.监测频次</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“万人千吨”水源地每季度第一个月监测1次、全年4次；“千人百吨”水源地每年监测1次、监测时间在二季度和三季度随机选择。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4.质量保证</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质量保证和质量控制按照《地表水和污水监测技术规范》（HJ/T 91-2002）、《地下水环境监测技术规范》（HJ/T 164-2004）及《环境水质监测质量保证手册（第二版）》有关要求执行。</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5.数据上报要求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（1）各分局于每季度最后一个月10日前，将所有</w:t>
      </w:r>
      <w:r>
        <w:rPr>
          <w:rFonts w:hint="eastAsia" w:ascii="仿宋_GB2312" w:hAnsi="仿宋_GB2312" w:eastAsia="仿宋_GB2312" w:cs="仿宋_GB2312"/>
          <w:color w:val="000000"/>
          <w:sz w:val="28"/>
          <w:szCs w:val="28"/>
        </w:rPr>
        <w:t>农村</w:t>
      </w:r>
      <w:r>
        <w:rPr>
          <w:rFonts w:hint="eastAsia" w:ascii="仿宋_GB2312" w:hAnsi="仿宋_GB2312" w:eastAsia="仿宋_GB2312" w:cs="仿宋_GB2312"/>
          <w:color w:val="000000"/>
          <w:spacing w:val="-4"/>
          <w:sz w:val="28"/>
          <w:szCs w:val="28"/>
        </w:rPr>
        <w:t>“万人千吨”</w:t>
      </w:r>
      <w:r>
        <w:rPr>
          <w:rFonts w:hint="eastAsia" w:ascii="仿宋_GB2312" w:hAnsi="仿宋_GB2312" w:eastAsia="仿宋_GB2312" w:cs="仿宋_GB2312"/>
          <w:color w:val="000000"/>
          <w:sz w:val="28"/>
          <w:szCs w:val="28"/>
        </w:rPr>
        <w:t>饮用水水源地监测</w:t>
      </w:r>
      <w:r>
        <w:rPr>
          <w:rFonts w:hint="eastAsia" w:ascii="仿宋_GB2312" w:hAnsi="仿宋_GB2312" w:eastAsia="仿宋_GB2312" w:cs="仿宋_GB2312"/>
          <w:sz w:val="28"/>
          <w:szCs w:val="28"/>
        </w:rPr>
        <w:t>数据按要求报送市生态环境局生态科，生态科</w:t>
      </w:r>
      <w:bookmarkStart w:id="63" w:name="_Toc6847"/>
      <w:bookmarkStart w:id="64" w:name="_Toc745"/>
      <w:bookmarkStart w:id="65" w:name="_Toc21071"/>
      <w:r>
        <w:rPr>
          <w:rFonts w:hint="eastAsia" w:ascii="仿宋_GB2312" w:hAnsi="仿宋_GB2312" w:eastAsia="仿宋_GB2312" w:cs="仿宋_GB2312"/>
          <w:sz w:val="28"/>
          <w:szCs w:val="28"/>
        </w:rPr>
        <w:t>负责汇总、审核后于每个季度最后一个月15日前将监测结果</w:t>
      </w:r>
      <w:r>
        <w:rPr>
          <w:rFonts w:hint="eastAsia" w:ascii="仿宋_GB2312" w:hAnsi="仿宋_GB2312" w:eastAsia="仿宋_GB2312" w:cs="仿宋_GB2312"/>
          <w:bCs/>
          <w:sz w:val="28"/>
          <w:szCs w:val="28"/>
        </w:rPr>
        <w:t>通过管理系统</w:t>
      </w:r>
      <w:r>
        <w:rPr>
          <w:rFonts w:hint="eastAsia" w:ascii="仿宋_GB2312" w:hAnsi="仿宋_GB2312" w:eastAsia="仿宋_GB2312" w:cs="仿宋_GB2312"/>
          <w:sz w:val="28"/>
          <w:szCs w:val="28"/>
        </w:rPr>
        <w:t>报送</w:t>
      </w:r>
      <w:bookmarkEnd w:id="63"/>
      <w:bookmarkEnd w:id="64"/>
      <w:bookmarkEnd w:id="65"/>
      <w:r>
        <w:rPr>
          <w:rFonts w:hint="eastAsia" w:ascii="仿宋_GB2312" w:hAnsi="仿宋_GB2312" w:eastAsia="仿宋_GB2312" w:cs="仿宋_GB2312"/>
          <w:sz w:val="28"/>
          <w:szCs w:val="28"/>
        </w:rPr>
        <w:t>省生态环境监测中心站。同时各分局每季度也应按国家总站时间要求将</w:t>
      </w:r>
      <w:r>
        <w:rPr>
          <w:rFonts w:hint="eastAsia" w:ascii="仿宋_GB2312" w:hAnsi="仿宋_GB2312" w:eastAsia="仿宋_GB2312" w:cs="仿宋_GB2312"/>
          <w:color w:val="000000"/>
          <w:sz w:val="28"/>
          <w:szCs w:val="28"/>
        </w:rPr>
        <w:t>农村</w:t>
      </w:r>
      <w:r>
        <w:rPr>
          <w:rFonts w:hint="eastAsia" w:ascii="仿宋_GB2312" w:hAnsi="仿宋_GB2312" w:eastAsia="仿宋_GB2312" w:cs="仿宋_GB2312"/>
          <w:color w:val="000000"/>
          <w:spacing w:val="-4"/>
          <w:sz w:val="28"/>
          <w:szCs w:val="28"/>
        </w:rPr>
        <w:t>“万人千吨”</w:t>
      </w:r>
      <w:r>
        <w:rPr>
          <w:rFonts w:hint="eastAsia" w:ascii="仿宋_GB2312" w:hAnsi="仿宋_GB2312" w:eastAsia="仿宋_GB2312" w:cs="仿宋_GB2312"/>
          <w:color w:val="000000"/>
          <w:sz w:val="28"/>
          <w:szCs w:val="28"/>
        </w:rPr>
        <w:t>饮用水水源地监测</w:t>
      </w:r>
      <w:r>
        <w:rPr>
          <w:rFonts w:hint="eastAsia" w:ascii="仿宋_GB2312" w:hAnsi="仿宋_GB2312" w:eastAsia="仿宋_GB2312" w:cs="仿宋_GB2312"/>
          <w:sz w:val="28"/>
          <w:szCs w:val="28"/>
        </w:rPr>
        <w:t>数据报送至</w:t>
      </w:r>
      <w:r>
        <w:rPr>
          <w:rFonts w:hint="eastAsia" w:ascii="仿宋_GB2312" w:hAnsi="仿宋_GB2312" w:eastAsia="仿宋_GB2312" w:cs="仿宋_GB2312"/>
          <w:color w:val="000000"/>
          <w:sz w:val="28"/>
          <w:szCs w:val="28"/>
        </w:rPr>
        <w:t>全国农村环境质量监测管理系统</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（2）各分局于监测当季最后一个月15日前，将所有</w:t>
      </w:r>
      <w:r>
        <w:rPr>
          <w:rFonts w:hint="eastAsia" w:ascii="仿宋_GB2312" w:hAnsi="仿宋_GB2312" w:eastAsia="仿宋_GB2312" w:cs="仿宋_GB2312"/>
          <w:color w:val="000000"/>
          <w:sz w:val="28"/>
          <w:szCs w:val="28"/>
        </w:rPr>
        <w:t>农村</w:t>
      </w:r>
      <w:r>
        <w:rPr>
          <w:rFonts w:hint="eastAsia" w:ascii="仿宋_GB2312" w:hAnsi="仿宋_GB2312" w:eastAsia="仿宋_GB2312" w:cs="仿宋_GB2312"/>
          <w:color w:val="000000"/>
          <w:spacing w:val="-4"/>
          <w:sz w:val="28"/>
          <w:szCs w:val="28"/>
        </w:rPr>
        <w:t>“千人百吨”</w:t>
      </w:r>
      <w:r>
        <w:rPr>
          <w:rFonts w:hint="eastAsia" w:ascii="仿宋_GB2312" w:hAnsi="仿宋_GB2312" w:eastAsia="仿宋_GB2312" w:cs="仿宋_GB2312"/>
          <w:color w:val="000000"/>
          <w:sz w:val="28"/>
          <w:szCs w:val="28"/>
        </w:rPr>
        <w:t>饮用水水源地监测</w:t>
      </w:r>
      <w:r>
        <w:rPr>
          <w:rFonts w:hint="eastAsia" w:ascii="仿宋_GB2312" w:hAnsi="仿宋_GB2312" w:eastAsia="仿宋_GB2312" w:cs="仿宋_GB2312"/>
          <w:sz w:val="28"/>
          <w:szCs w:val="28"/>
        </w:rPr>
        <w:t>数据按要求报送市生态环境局生态科。</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6.数据填报格式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将所有监测项目浓度值以规定的格式报送饮用水源地水质数据。报送监测数据时，若监测值低于检测限，在检测限后加“L”；未监测项目填写“-1”，并写明原因；如监测断面水质异常，需组织核查并向市生态环境局生态监测科报送超标原因分析。报送取水量时，水源地当月未取水填写“0”，并注明原因（如备用水源地）；未获得取水量信息填写“-1”。若水源地当月未监测，则该水源地数据行填“-1”，并注明原因（如备用水源地）；已停用水源地则不再报送监测数据并证明已停用。</w:t>
      </w:r>
    </w:p>
    <w:p>
      <w:pPr>
        <w:pStyle w:val="4"/>
        <w:ind w:firstLine="600"/>
        <w:rPr>
          <w:sz w:val="30"/>
          <w:szCs w:val="30"/>
        </w:rPr>
      </w:pPr>
      <w:bookmarkStart w:id="66" w:name="_Toc62822066"/>
      <w:bookmarkStart w:id="67" w:name="_Toc22108"/>
      <w:r>
        <w:rPr>
          <w:rFonts w:hint="eastAsia"/>
          <w:sz w:val="30"/>
          <w:szCs w:val="30"/>
        </w:rPr>
        <w:t>（十）湖泊水质专项监测</w:t>
      </w:r>
      <w:bookmarkEnd w:id="66"/>
      <w:bookmarkEnd w:id="67"/>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1.监测点位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《湖北省首批湖泊保护名录》和《湖北省第二批湖泊保护名录》中的非国、省、市控湖泊，具体湖泊名单见下表1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p>
    <w:p>
      <w:pPr>
        <w:pStyle w:val="2"/>
        <w:rPr>
          <w:rFonts w:hint="eastAsia" w:ascii="仿宋_GB2312" w:hAnsi="仿宋_GB2312" w:eastAsia="仿宋_GB2312" w:cs="仿宋_GB2312"/>
          <w:sz w:val="28"/>
          <w:szCs w:val="28"/>
        </w:rPr>
      </w:pPr>
    </w:p>
    <w:p>
      <w:pPr>
        <w:pStyle w:val="3"/>
      </w:pPr>
    </w:p>
    <w:p>
      <w:pPr>
        <w:widowControl/>
        <w:spacing w:line="560" w:lineRule="exact"/>
        <w:ind w:firstLine="2400" w:firstLineChars="1000"/>
        <w:jc w:val="both"/>
        <w:rPr>
          <w:rFonts w:ascii="黑体" w:hAnsi="黑体" w:eastAsia="黑体" w:cs="黑体"/>
          <w:sz w:val="28"/>
          <w:szCs w:val="28"/>
        </w:rPr>
      </w:pPr>
      <w:r>
        <w:rPr>
          <w:rFonts w:hint="eastAsia" w:ascii="黑体" w:hAnsi="黑体" w:eastAsia="黑体" w:cs="黑体"/>
          <w:sz w:val="24"/>
          <w:szCs w:val="24"/>
        </w:rPr>
        <w:t>表1</w:t>
      </w:r>
      <w:r>
        <w:rPr>
          <w:rFonts w:hint="eastAsia" w:ascii="黑体" w:hAnsi="黑体" w:eastAsia="黑体" w:cs="黑体"/>
          <w:sz w:val="24"/>
          <w:szCs w:val="24"/>
          <w:lang w:val="en-US" w:eastAsia="zh-CN"/>
        </w:rPr>
        <w:t>1</w:t>
      </w:r>
      <w:r>
        <w:rPr>
          <w:rFonts w:hint="eastAsia" w:ascii="黑体" w:hAnsi="黑体" w:eastAsia="黑体" w:cs="黑体"/>
          <w:sz w:val="24"/>
          <w:szCs w:val="24"/>
        </w:rPr>
        <w:t xml:space="preserve"> 咸宁市湖泊水质调查名录（县控）</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336"/>
        <w:gridCol w:w="933"/>
        <w:gridCol w:w="1288"/>
        <w:gridCol w:w="2279"/>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82" w:type="pct"/>
            <w:vMerge w:val="restart"/>
            <w:vAlign w:val="center"/>
          </w:tcPr>
          <w:p>
            <w:pPr>
              <w:widowControl/>
              <w:adjustRightInd w:val="0"/>
              <w:snapToGrid w:val="0"/>
              <w:spacing w:line="400" w:lineRule="exact"/>
              <w:jc w:val="center"/>
              <w:rPr>
                <w:rFonts w:ascii="仿宋_GB2312" w:hAnsi="仿宋_GB2312" w:eastAsia="仿宋_GB2312" w:cs="仿宋_GB2312"/>
                <w:b/>
                <w:bCs w:val="0"/>
                <w:kern w:val="0"/>
                <w:szCs w:val="21"/>
              </w:rPr>
            </w:pPr>
            <w:r>
              <w:rPr>
                <w:rFonts w:hint="eastAsia" w:ascii="仿宋_GB2312" w:hAnsi="仿宋_GB2312" w:eastAsia="仿宋_GB2312" w:cs="仿宋_GB2312"/>
                <w:b/>
                <w:bCs w:val="0"/>
                <w:kern w:val="0"/>
                <w:szCs w:val="21"/>
              </w:rPr>
              <w:t>序号</w:t>
            </w:r>
          </w:p>
        </w:tc>
        <w:tc>
          <w:tcPr>
            <w:tcW w:w="756" w:type="pct"/>
            <w:vMerge w:val="restart"/>
            <w:vAlign w:val="center"/>
          </w:tcPr>
          <w:p>
            <w:pPr>
              <w:widowControl/>
              <w:adjustRightInd w:val="0"/>
              <w:snapToGrid w:val="0"/>
              <w:spacing w:line="400" w:lineRule="exact"/>
              <w:jc w:val="center"/>
              <w:rPr>
                <w:rFonts w:ascii="仿宋_GB2312" w:hAnsi="仿宋_GB2312" w:eastAsia="仿宋_GB2312" w:cs="仿宋_GB2312"/>
                <w:b/>
                <w:bCs w:val="0"/>
                <w:kern w:val="0"/>
                <w:szCs w:val="21"/>
              </w:rPr>
            </w:pPr>
            <w:r>
              <w:rPr>
                <w:rFonts w:hint="eastAsia" w:ascii="仿宋_GB2312" w:hAnsi="仿宋_GB2312" w:eastAsia="仿宋_GB2312" w:cs="仿宋_GB2312"/>
                <w:b/>
                <w:bCs w:val="0"/>
                <w:kern w:val="0"/>
                <w:szCs w:val="21"/>
              </w:rPr>
              <w:t>湖泊</w:t>
            </w:r>
          </w:p>
          <w:p>
            <w:pPr>
              <w:widowControl/>
              <w:adjustRightInd w:val="0"/>
              <w:snapToGrid w:val="0"/>
              <w:spacing w:line="400" w:lineRule="exact"/>
              <w:jc w:val="center"/>
              <w:rPr>
                <w:rFonts w:ascii="仿宋_GB2312" w:hAnsi="仿宋_GB2312" w:eastAsia="仿宋_GB2312" w:cs="仿宋_GB2312"/>
                <w:b/>
                <w:bCs w:val="0"/>
                <w:kern w:val="0"/>
                <w:szCs w:val="21"/>
              </w:rPr>
            </w:pPr>
            <w:r>
              <w:rPr>
                <w:rFonts w:hint="eastAsia" w:ascii="仿宋_GB2312" w:hAnsi="仿宋_GB2312" w:eastAsia="仿宋_GB2312" w:cs="仿宋_GB2312"/>
                <w:b/>
                <w:bCs w:val="0"/>
                <w:kern w:val="0"/>
                <w:szCs w:val="21"/>
              </w:rPr>
              <w:t>名称</w:t>
            </w:r>
          </w:p>
        </w:tc>
        <w:tc>
          <w:tcPr>
            <w:tcW w:w="528" w:type="pct"/>
            <w:vMerge w:val="restart"/>
            <w:vAlign w:val="center"/>
          </w:tcPr>
          <w:p>
            <w:pPr>
              <w:widowControl/>
              <w:adjustRightInd w:val="0"/>
              <w:snapToGrid w:val="0"/>
              <w:spacing w:line="400" w:lineRule="exact"/>
              <w:jc w:val="center"/>
              <w:rPr>
                <w:rFonts w:ascii="仿宋_GB2312" w:hAnsi="仿宋_GB2312" w:eastAsia="仿宋_GB2312" w:cs="仿宋_GB2312"/>
                <w:b/>
                <w:bCs w:val="0"/>
                <w:kern w:val="0"/>
                <w:szCs w:val="21"/>
              </w:rPr>
            </w:pPr>
            <w:r>
              <w:rPr>
                <w:rFonts w:hint="eastAsia" w:ascii="仿宋_GB2312" w:hAnsi="仿宋_GB2312" w:eastAsia="仿宋_GB2312" w:cs="仿宋_GB2312"/>
                <w:b/>
                <w:bCs w:val="0"/>
                <w:kern w:val="0"/>
                <w:szCs w:val="21"/>
              </w:rPr>
              <w:t>湖泊</w:t>
            </w:r>
          </w:p>
          <w:p>
            <w:pPr>
              <w:widowControl/>
              <w:adjustRightInd w:val="0"/>
              <w:snapToGrid w:val="0"/>
              <w:spacing w:line="400" w:lineRule="exact"/>
              <w:jc w:val="center"/>
              <w:rPr>
                <w:rFonts w:ascii="仿宋_GB2312" w:hAnsi="仿宋_GB2312" w:eastAsia="仿宋_GB2312" w:cs="仿宋_GB2312"/>
                <w:b/>
                <w:bCs w:val="0"/>
                <w:kern w:val="0"/>
                <w:szCs w:val="21"/>
              </w:rPr>
            </w:pPr>
            <w:r>
              <w:rPr>
                <w:rFonts w:hint="eastAsia" w:ascii="仿宋_GB2312" w:hAnsi="仿宋_GB2312" w:eastAsia="仿宋_GB2312" w:cs="仿宋_GB2312"/>
                <w:b/>
                <w:bCs w:val="0"/>
                <w:kern w:val="0"/>
                <w:szCs w:val="21"/>
              </w:rPr>
              <w:t>水面</w:t>
            </w:r>
          </w:p>
          <w:p>
            <w:pPr>
              <w:widowControl/>
              <w:adjustRightInd w:val="0"/>
              <w:snapToGrid w:val="0"/>
              <w:spacing w:line="400" w:lineRule="exact"/>
              <w:jc w:val="center"/>
              <w:rPr>
                <w:rFonts w:ascii="仿宋_GB2312" w:hAnsi="仿宋_GB2312" w:eastAsia="仿宋_GB2312" w:cs="仿宋_GB2312"/>
                <w:b/>
                <w:bCs w:val="0"/>
                <w:kern w:val="0"/>
                <w:szCs w:val="21"/>
              </w:rPr>
            </w:pPr>
            <w:r>
              <w:rPr>
                <w:rFonts w:hint="eastAsia" w:ascii="仿宋_GB2312" w:hAnsi="仿宋_GB2312" w:eastAsia="仿宋_GB2312" w:cs="仿宋_GB2312"/>
                <w:b/>
                <w:bCs w:val="0"/>
                <w:kern w:val="0"/>
                <w:szCs w:val="21"/>
              </w:rPr>
              <w:t>面积</w:t>
            </w:r>
            <w:r>
              <w:rPr>
                <w:rFonts w:hint="eastAsia" w:ascii="仿宋_GB2312" w:hAnsi="仿宋_GB2312" w:eastAsia="仿宋_GB2312" w:cs="仿宋_GB2312"/>
                <w:b/>
                <w:bCs w:val="0"/>
                <w:kern w:val="0"/>
                <w:szCs w:val="21"/>
              </w:rPr>
              <w:br w:type="textWrapping"/>
            </w:r>
            <w:r>
              <w:rPr>
                <w:rFonts w:hint="eastAsia" w:ascii="仿宋_GB2312" w:hAnsi="仿宋_GB2312" w:eastAsia="仿宋_GB2312" w:cs="仿宋_GB2312"/>
                <w:b/>
                <w:bCs w:val="0"/>
                <w:kern w:val="0"/>
                <w:szCs w:val="21"/>
              </w:rPr>
              <w:t>(km</w:t>
            </w:r>
            <w:r>
              <w:rPr>
                <w:rFonts w:hint="eastAsia" w:ascii="仿宋_GB2312" w:hAnsi="仿宋_GB2312" w:eastAsia="仿宋_GB2312" w:cs="仿宋_GB2312"/>
                <w:b/>
                <w:bCs w:val="0"/>
                <w:kern w:val="0"/>
                <w:szCs w:val="21"/>
                <w:vertAlign w:val="superscript"/>
              </w:rPr>
              <w:t>2</w:t>
            </w:r>
            <w:r>
              <w:rPr>
                <w:rFonts w:hint="eastAsia" w:ascii="仿宋_GB2312" w:hAnsi="仿宋_GB2312" w:eastAsia="仿宋_GB2312" w:cs="仿宋_GB2312"/>
                <w:b/>
                <w:bCs w:val="0"/>
                <w:kern w:val="0"/>
                <w:szCs w:val="21"/>
              </w:rPr>
              <w:t>)</w:t>
            </w:r>
          </w:p>
        </w:tc>
        <w:tc>
          <w:tcPr>
            <w:tcW w:w="729" w:type="pct"/>
            <w:vMerge w:val="restart"/>
            <w:vAlign w:val="center"/>
          </w:tcPr>
          <w:p>
            <w:pPr>
              <w:widowControl/>
              <w:adjustRightInd w:val="0"/>
              <w:snapToGrid w:val="0"/>
              <w:spacing w:line="400" w:lineRule="exact"/>
              <w:jc w:val="center"/>
              <w:rPr>
                <w:rFonts w:ascii="仿宋_GB2312" w:hAnsi="仿宋_GB2312" w:eastAsia="仿宋_GB2312" w:cs="仿宋_GB2312"/>
                <w:b/>
                <w:bCs w:val="0"/>
                <w:kern w:val="0"/>
                <w:szCs w:val="21"/>
              </w:rPr>
            </w:pPr>
            <w:r>
              <w:rPr>
                <w:rFonts w:hint="eastAsia" w:ascii="仿宋_GB2312" w:hAnsi="仿宋_GB2312" w:eastAsia="仿宋_GB2312" w:cs="仿宋_GB2312"/>
                <w:b/>
                <w:bCs w:val="0"/>
                <w:kern w:val="0"/>
                <w:szCs w:val="21"/>
              </w:rPr>
              <w:t>所在区域</w:t>
            </w:r>
          </w:p>
        </w:tc>
        <w:tc>
          <w:tcPr>
            <w:tcW w:w="2504" w:type="pct"/>
            <w:gridSpan w:val="2"/>
            <w:vAlign w:val="center"/>
          </w:tcPr>
          <w:p>
            <w:pPr>
              <w:widowControl/>
              <w:adjustRightInd w:val="0"/>
              <w:snapToGrid w:val="0"/>
              <w:spacing w:line="400" w:lineRule="exact"/>
              <w:jc w:val="center"/>
              <w:rPr>
                <w:rFonts w:ascii="仿宋_GB2312" w:hAnsi="仿宋_GB2312" w:eastAsia="仿宋_GB2312" w:cs="仿宋_GB2312"/>
                <w:b/>
                <w:bCs w:val="0"/>
                <w:kern w:val="0"/>
                <w:szCs w:val="21"/>
              </w:rPr>
            </w:pPr>
            <w:r>
              <w:rPr>
                <w:rFonts w:hint="eastAsia" w:ascii="仿宋_GB2312" w:hAnsi="仿宋_GB2312" w:eastAsia="仿宋_GB2312" w:cs="仿宋_GB2312"/>
                <w:b/>
                <w:bCs w:val="0"/>
                <w:kern w:val="0"/>
                <w:szCs w:val="21"/>
              </w:rPr>
              <w:t>湖泊水面中心经纬度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82" w:type="pct"/>
            <w:vMerge w:val="continue"/>
            <w:vAlign w:val="center"/>
          </w:tcPr>
          <w:p>
            <w:pPr>
              <w:spacing w:line="400" w:lineRule="exact"/>
              <w:jc w:val="center"/>
              <w:rPr>
                <w:rFonts w:ascii="仿宋_GB2312" w:hAnsi="仿宋_GB2312" w:eastAsia="仿宋_GB2312" w:cs="仿宋_GB2312"/>
                <w:b/>
                <w:bCs w:val="0"/>
                <w:szCs w:val="21"/>
              </w:rPr>
            </w:pPr>
          </w:p>
        </w:tc>
        <w:tc>
          <w:tcPr>
            <w:tcW w:w="756" w:type="pct"/>
            <w:vMerge w:val="continue"/>
            <w:vAlign w:val="center"/>
          </w:tcPr>
          <w:p>
            <w:pPr>
              <w:spacing w:line="400" w:lineRule="exact"/>
              <w:jc w:val="center"/>
              <w:rPr>
                <w:rFonts w:ascii="仿宋_GB2312" w:hAnsi="仿宋_GB2312" w:eastAsia="仿宋_GB2312" w:cs="仿宋_GB2312"/>
                <w:b/>
                <w:bCs w:val="0"/>
                <w:szCs w:val="21"/>
              </w:rPr>
            </w:pPr>
          </w:p>
        </w:tc>
        <w:tc>
          <w:tcPr>
            <w:tcW w:w="528" w:type="pct"/>
            <w:vMerge w:val="continue"/>
            <w:vAlign w:val="center"/>
          </w:tcPr>
          <w:p>
            <w:pPr>
              <w:spacing w:line="400" w:lineRule="exact"/>
              <w:jc w:val="center"/>
              <w:rPr>
                <w:rFonts w:ascii="仿宋_GB2312" w:hAnsi="仿宋_GB2312" w:eastAsia="仿宋_GB2312" w:cs="仿宋_GB2312"/>
                <w:b/>
                <w:bCs w:val="0"/>
                <w:szCs w:val="21"/>
              </w:rPr>
            </w:pPr>
          </w:p>
        </w:tc>
        <w:tc>
          <w:tcPr>
            <w:tcW w:w="729" w:type="pct"/>
            <w:vMerge w:val="continue"/>
            <w:vAlign w:val="center"/>
          </w:tcPr>
          <w:p>
            <w:pPr>
              <w:spacing w:line="400" w:lineRule="exact"/>
              <w:jc w:val="center"/>
              <w:rPr>
                <w:rFonts w:ascii="仿宋_GB2312" w:hAnsi="仿宋_GB2312" w:eastAsia="仿宋_GB2312" w:cs="仿宋_GB2312"/>
                <w:b/>
                <w:bCs w:val="0"/>
                <w:szCs w:val="21"/>
              </w:rPr>
            </w:pPr>
          </w:p>
        </w:tc>
        <w:tc>
          <w:tcPr>
            <w:tcW w:w="1290" w:type="pct"/>
            <w:vAlign w:val="center"/>
          </w:tcPr>
          <w:p>
            <w:pPr>
              <w:widowControl/>
              <w:adjustRightInd w:val="0"/>
              <w:snapToGrid w:val="0"/>
              <w:spacing w:line="400" w:lineRule="exact"/>
              <w:jc w:val="center"/>
              <w:rPr>
                <w:rFonts w:ascii="仿宋_GB2312" w:hAnsi="仿宋_GB2312" w:eastAsia="仿宋_GB2312" w:cs="仿宋_GB2312"/>
                <w:b/>
                <w:bCs w:val="0"/>
                <w:kern w:val="0"/>
                <w:szCs w:val="21"/>
              </w:rPr>
            </w:pPr>
            <w:r>
              <w:rPr>
                <w:rFonts w:hint="eastAsia" w:ascii="仿宋_GB2312" w:hAnsi="仿宋_GB2312" w:eastAsia="仿宋_GB2312" w:cs="仿宋_GB2312"/>
                <w:b/>
                <w:bCs w:val="0"/>
                <w:kern w:val="0"/>
                <w:szCs w:val="21"/>
              </w:rPr>
              <w:t>东经</w:t>
            </w:r>
          </w:p>
        </w:tc>
        <w:tc>
          <w:tcPr>
            <w:tcW w:w="1214" w:type="pct"/>
            <w:vAlign w:val="center"/>
          </w:tcPr>
          <w:p>
            <w:pPr>
              <w:widowControl/>
              <w:adjustRightInd w:val="0"/>
              <w:snapToGrid w:val="0"/>
              <w:spacing w:line="400" w:lineRule="exact"/>
              <w:jc w:val="center"/>
              <w:rPr>
                <w:rFonts w:ascii="仿宋_GB2312" w:hAnsi="仿宋_GB2312" w:eastAsia="仿宋_GB2312" w:cs="仿宋_GB2312"/>
                <w:b/>
                <w:bCs w:val="0"/>
                <w:kern w:val="0"/>
                <w:szCs w:val="21"/>
              </w:rPr>
            </w:pPr>
            <w:r>
              <w:rPr>
                <w:rFonts w:hint="eastAsia" w:ascii="仿宋_GB2312" w:hAnsi="仿宋_GB2312" w:eastAsia="仿宋_GB2312" w:cs="仿宋_GB2312"/>
                <w:b/>
                <w:bCs w:val="0"/>
                <w:kern w:val="0"/>
                <w:szCs w:val="21"/>
              </w:rPr>
              <w:t>北纬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756"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东港湖</w:t>
            </w:r>
          </w:p>
        </w:tc>
        <w:tc>
          <w:tcPr>
            <w:tcW w:w="528"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2.8</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113°36'23"</w:t>
            </w:r>
          </w:p>
        </w:tc>
        <w:tc>
          <w:tcPr>
            <w:tcW w:w="1214"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756"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茶湖</w:t>
            </w:r>
          </w:p>
        </w:tc>
        <w:tc>
          <w:tcPr>
            <w:tcW w:w="528"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113°57'36"</w:t>
            </w:r>
          </w:p>
        </w:tc>
        <w:tc>
          <w:tcPr>
            <w:tcW w:w="1214"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756"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赤城湖</w:t>
            </w:r>
          </w:p>
        </w:tc>
        <w:tc>
          <w:tcPr>
            <w:tcW w:w="528"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114°6'13"</w:t>
            </w:r>
          </w:p>
        </w:tc>
        <w:tc>
          <w:tcPr>
            <w:tcW w:w="1214"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756"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张家湖</w:t>
            </w:r>
          </w:p>
        </w:tc>
        <w:tc>
          <w:tcPr>
            <w:tcW w:w="528"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1.22</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113°37'50"</w:t>
            </w:r>
          </w:p>
        </w:tc>
        <w:tc>
          <w:tcPr>
            <w:tcW w:w="1214"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756"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大罗湖</w:t>
            </w:r>
          </w:p>
        </w:tc>
        <w:tc>
          <w:tcPr>
            <w:tcW w:w="528"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1.18</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113°42'43″</w:t>
            </w:r>
          </w:p>
        </w:tc>
        <w:tc>
          <w:tcPr>
            <w:tcW w:w="1214"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756"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接里湖</w:t>
            </w:r>
          </w:p>
        </w:tc>
        <w:tc>
          <w:tcPr>
            <w:tcW w:w="528"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113°43'28"</w:t>
            </w:r>
          </w:p>
        </w:tc>
        <w:tc>
          <w:tcPr>
            <w:tcW w:w="1214"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756"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杨家湖</w:t>
            </w:r>
          </w:p>
        </w:tc>
        <w:tc>
          <w:tcPr>
            <w:tcW w:w="528"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0.2</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113°52'1″</w:t>
            </w:r>
          </w:p>
        </w:tc>
        <w:tc>
          <w:tcPr>
            <w:tcW w:w="1214"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清江寨</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0.84</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113°36′28.8″</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29°49′28.9″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锦湖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0.83</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113°42′57.6″</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29°50′36.6″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大左湖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0.72</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113°35′38.4″</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左金湖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0.70</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113°41′45.6″</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29°50′53.5″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大河口湖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0.58</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113°47′13.2″</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西沟湖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0.56</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113°43′33.6″</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土地湖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0.48</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114°3′36″</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后湖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0.43</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114°6′36″</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章家湖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0.41</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咸安区</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114°11′16.8″</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鱼儿湖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0.26</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113°42′0″</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南塘湖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0.25</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113°45′10.8″</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羊角湖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0.24</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113°40′1.2″</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29°48′44.6″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蔡子一湖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0.24</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113°45′57.6″</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东沟湖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0.23</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113°44′13.2″</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程家湖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0.18</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113°43′58.8″</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23</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前进湖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0.16</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113°35′16.8″</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后湖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0.16</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113°40′12″</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界石湖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0.15</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113°40′19.2″</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29°53′14.6″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26</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上帅湖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0.15</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113°40′30″</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29°53′51.7″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沈家塔湖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0.12</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113°45′46.8″</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28</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郭家湖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0.098</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113°37′37.2″</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铜山湖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0.09</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嘉鱼县</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113°43′19.2″</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29°53′29.4″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756"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小左湖</w:t>
            </w:r>
          </w:p>
        </w:tc>
        <w:tc>
          <w:tcPr>
            <w:tcW w:w="528" w:type="pct"/>
            <w:vAlign w:val="center"/>
          </w:tcPr>
          <w:p>
            <w:pPr>
              <w:widowControl/>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0.071</w:t>
            </w:r>
          </w:p>
        </w:tc>
        <w:tc>
          <w:tcPr>
            <w:tcW w:w="729" w:type="pct"/>
            <w:vAlign w:val="center"/>
          </w:tcPr>
          <w:p>
            <w:pPr>
              <w:widowControl/>
              <w:adjustRightInd w:val="0"/>
              <w:snapToGrid w:val="0"/>
              <w:spacing w:line="4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赤壁市</w:t>
            </w:r>
          </w:p>
        </w:tc>
        <w:tc>
          <w:tcPr>
            <w:tcW w:w="1290"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113°34′37.2″</w:t>
            </w:r>
          </w:p>
        </w:tc>
        <w:tc>
          <w:tcPr>
            <w:tcW w:w="1214" w:type="pct"/>
            <w:vAlign w:val="center"/>
          </w:tcPr>
          <w:p>
            <w:pPr>
              <w:widowControl/>
              <w:snapToGrid w:val="0"/>
              <w:spacing w:line="4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29°49′0.8″</w:t>
            </w:r>
          </w:p>
        </w:tc>
      </w:tr>
    </w:tbl>
    <w:p>
      <w:pPr>
        <w:widowControl/>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2.监测项目</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县控湖泊：监测项目为11项基本指标：水温、pH、溶解氧、电导率、浊度、高锰酸盐指数、氨氮、总磷、总氮、叶绿素a和透明度。</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3.监测频次</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县控湖泊：每年5</w:t>
      </w:r>
      <w:r>
        <w:rPr>
          <w:rFonts w:hint="eastAsia" w:ascii="仿宋_GB2312" w:hAnsi="仿宋_GB2312" w:eastAsia="仿宋_GB2312" w:cs="仿宋_GB2312"/>
          <w:spacing w:val="-2"/>
          <w:sz w:val="28"/>
          <w:szCs w:val="28"/>
        </w:rPr>
        <w:t>—6</w:t>
      </w:r>
      <w:r>
        <w:rPr>
          <w:rFonts w:hint="eastAsia" w:ascii="仿宋_GB2312" w:hAnsi="仿宋_GB2312" w:eastAsia="仿宋_GB2312" w:cs="仿宋_GB2312"/>
          <w:sz w:val="28"/>
          <w:szCs w:val="28"/>
        </w:rPr>
        <w:t>月、11</w:t>
      </w:r>
      <w:r>
        <w:rPr>
          <w:rFonts w:hint="eastAsia" w:ascii="仿宋_GB2312" w:hAnsi="仿宋_GB2312" w:eastAsia="仿宋_GB2312" w:cs="仿宋_GB2312"/>
          <w:spacing w:val="-2"/>
          <w:sz w:val="28"/>
          <w:szCs w:val="28"/>
        </w:rPr>
        <w:t>—12</w:t>
      </w:r>
      <w:r>
        <w:rPr>
          <w:rFonts w:hint="eastAsia" w:ascii="仿宋_GB2312" w:hAnsi="仿宋_GB2312" w:eastAsia="仿宋_GB2312" w:cs="仿宋_GB2312"/>
          <w:sz w:val="28"/>
          <w:szCs w:val="28"/>
        </w:rPr>
        <w:t>月各开展一次监测。</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4.质量保证</w:t>
      </w:r>
    </w:p>
    <w:p>
      <w:pPr>
        <w:tabs>
          <w:tab w:val="left" w:pos="987"/>
        </w:tabs>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监测任务承担单位要按照《地表水和污水监测技术规范》（HJ/T 91</w:t>
      </w:r>
      <w:r>
        <w:rPr>
          <w:rFonts w:hint="eastAsia" w:ascii="仿宋_GB2312" w:hAnsi="仿宋_GB2312" w:eastAsia="仿宋_GB2312" w:cs="仿宋_GB2312"/>
          <w:spacing w:val="-2"/>
          <w:sz w:val="28"/>
          <w:szCs w:val="28"/>
        </w:rPr>
        <w:t>—</w:t>
      </w:r>
      <w:r>
        <w:rPr>
          <w:rFonts w:hint="eastAsia" w:ascii="仿宋_GB2312" w:hAnsi="仿宋_GB2312" w:eastAsia="仿宋_GB2312" w:cs="仿宋_GB2312"/>
          <w:color w:val="000000"/>
          <w:sz w:val="28"/>
          <w:szCs w:val="28"/>
        </w:rPr>
        <w:t>2002）、《环境水质监测质量保证手册》（第二版）和《国家地表水环境质量监测网监测任务作业指导书（试行）》开展监测质量保证和质量控制工作。</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5.数据上报要求</w:t>
      </w:r>
    </w:p>
    <w:p>
      <w:pPr>
        <w:tabs>
          <w:tab w:val="left" w:pos="987"/>
        </w:tabs>
        <w:spacing w:line="560" w:lineRule="exact"/>
        <w:ind w:firstLine="560" w:firstLineChars="200"/>
        <w:rPr>
          <w:rFonts w:ascii="仿宋_GB2312" w:hAnsi="仿宋_GB2312" w:eastAsia="仿宋_GB2312" w:cs="仿宋_GB2312"/>
          <w:color w:val="000000"/>
          <w:sz w:val="28"/>
          <w:szCs w:val="28"/>
        </w:rPr>
      </w:pPr>
      <w:bookmarkStart w:id="68" w:name="_Toc62822067"/>
      <w:r>
        <w:rPr>
          <w:rFonts w:hint="eastAsia" w:ascii="仿宋_GB2312" w:hAnsi="仿宋_GB2312" w:eastAsia="仿宋_GB2312" w:cs="仿宋_GB2312"/>
          <w:color w:val="000000"/>
          <w:sz w:val="28"/>
          <w:szCs w:val="28"/>
        </w:rPr>
        <w:t>县控湖泊监测由湖泊所在地生态环境分局负责组织监测、数据审核和上报至市局生态科，市生态环境局生态科汇总审后分别于当年6月底、12月底前通过管理系统报送。</w:t>
      </w:r>
    </w:p>
    <w:p>
      <w:pPr>
        <w:tabs>
          <w:tab w:val="left" w:pos="987"/>
        </w:tabs>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送监测数据时，应严格按照《地表水环境质量监测数据统计技术规定（试行）》（环办监测函〔2020〕82号）的要求进行报送。若监测值低于检测限，在检测限后加“L”，检测限应该满足国家地表水Ⅰ类标准值的1/4；未监测则填写“-1”，并写明原因。如遇缺测、缺项及数据填报错误等情形，需提交正式文件予以说明。</w:t>
      </w:r>
    </w:p>
    <w:p>
      <w:pPr>
        <w:pStyle w:val="2"/>
        <w:ind w:firstLine="560"/>
        <w:rPr>
          <w:rFonts w:ascii="仿宋_GB2312" w:hAnsi="仿宋_GB2312" w:eastAsia="仿宋_GB2312" w:cs="仿宋_GB2312"/>
          <w:color w:val="000000"/>
          <w:sz w:val="28"/>
          <w:szCs w:val="28"/>
        </w:rPr>
      </w:pPr>
    </w:p>
    <w:p>
      <w:pPr>
        <w:pStyle w:val="2"/>
        <w:numPr>
          <w:ilvl w:val="0"/>
          <w:numId w:val="2"/>
        </w:numPr>
        <w:ind w:firstLine="643"/>
        <w:jc w:val="center"/>
        <w:outlineLvl w:val="0"/>
        <w:rPr>
          <w:rFonts w:ascii="黑体" w:hAnsi="黑体" w:eastAsia="黑体" w:cs="黑体"/>
          <w:b/>
          <w:bCs/>
          <w:sz w:val="32"/>
          <w:szCs w:val="32"/>
          <w:lang w:val="en-US"/>
        </w:rPr>
      </w:pPr>
      <w:bookmarkStart w:id="69" w:name="_Toc14516"/>
      <w:r>
        <w:rPr>
          <w:rFonts w:hint="eastAsia" w:ascii="黑体" w:hAnsi="黑体" w:eastAsia="黑体" w:cs="黑体"/>
          <w:b/>
          <w:bCs/>
          <w:sz w:val="32"/>
          <w:szCs w:val="32"/>
          <w:lang w:val="en-US"/>
        </w:rPr>
        <w:t>土壤环境质量监测</w:t>
      </w:r>
      <w:bookmarkEnd w:id="69"/>
    </w:p>
    <w:p>
      <w:pPr>
        <w:pStyle w:val="2"/>
        <w:ind w:firstLine="560"/>
        <w:rPr>
          <w:rFonts w:ascii="仿宋_GB2312" w:hAnsi="仿宋_GB2312" w:eastAsia="仿宋_GB2312" w:cs="仿宋_GB2312"/>
          <w:color w:val="000000"/>
          <w:sz w:val="28"/>
          <w:szCs w:val="28"/>
        </w:rPr>
      </w:pPr>
    </w:p>
    <w:p>
      <w:pPr>
        <w:pStyle w:val="4"/>
        <w:ind w:firstLine="600"/>
        <w:rPr>
          <w:sz w:val="30"/>
          <w:szCs w:val="30"/>
        </w:rPr>
      </w:pPr>
      <w:bookmarkStart w:id="70" w:name="_Toc28201"/>
      <w:r>
        <w:rPr>
          <w:rFonts w:hint="eastAsia"/>
          <w:sz w:val="30"/>
          <w:szCs w:val="30"/>
        </w:rPr>
        <w:t>（十</w:t>
      </w:r>
      <w:r>
        <w:rPr>
          <w:rFonts w:hint="eastAsia"/>
          <w:sz w:val="30"/>
          <w:szCs w:val="30"/>
          <w:lang w:eastAsia="zh-CN"/>
        </w:rPr>
        <w:t>一</w:t>
      </w:r>
      <w:r>
        <w:rPr>
          <w:rFonts w:hint="eastAsia"/>
          <w:sz w:val="30"/>
          <w:szCs w:val="30"/>
        </w:rPr>
        <w:t>）国家网土壤环境质量监测</w:t>
      </w:r>
      <w:bookmarkEnd w:id="68"/>
      <w:bookmarkEnd w:id="70"/>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1.监测点位</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由国家总站确定的5个土壤风险监控点位，具体点位信息由国家总站另行下发。</w:t>
      </w:r>
    </w:p>
    <w:p>
      <w:pPr>
        <w:spacing w:line="560" w:lineRule="exact"/>
        <w:ind w:firstLine="560" w:firstLineChars="200"/>
        <w:rPr>
          <w:rFonts w:ascii="仿宋_GB2312" w:hAnsi="仿宋_GB2312" w:eastAsia="仿宋_GB2312" w:cs="仿宋_GB2312"/>
          <w:bCs/>
          <w:sz w:val="28"/>
          <w:szCs w:val="28"/>
        </w:rPr>
      </w:pPr>
      <w:bookmarkStart w:id="71" w:name="_Toc62822068"/>
      <w:r>
        <w:rPr>
          <w:rFonts w:hint="eastAsia" w:ascii="仿宋_GB2312" w:hAnsi="仿宋_GB2312" w:eastAsia="仿宋_GB2312" w:cs="仿宋_GB2312"/>
          <w:bCs/>
          <w:sz w:val="28"/>
          <w:szCs w:val="28"/>
        </w:rPr>
        <w:t>2.监测项目</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0-20cm表层土壤样品，监测指标如下：</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（1）土壤理化指标</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土壤pH、阳离子交换量和有机质含量。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（2）无机污染物</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镉、汞、砷、铅、铬、铜、锌和镍等8种元素的全量。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（3）有机项目</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有机氯农药（六六六、滴滴涕）；</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多环芳烃（萘、苊烯、苊、芴、菲、蒽、荧蒽、芘、苯并[a]蒽、䓛、苯并[b]荧蒽、苯并[k]荧蒽、苯并[a]芘、茚并[1,2,3-c,d]芘、二苯并[a,h]蒽和苯并[g,h,i]苝）。</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（4）其他项目</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风险监控点需按照行业污染排放特征，增选特征污染物进行监测。增测项目待总站土壤监测信息系统下发。</w:t>
      </w:r>
    </w:p>
    <w:p>
      <w:pPr>
        <w:spacing w:line="560" w:lineRule="exact"/>
        <w:ind w:left="567"/>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3.监测时间</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4月15日前，市生态环境局生态科报送监测工作方案至省厅监测处，在总站土壤监测信息系统中完成监测任务承担单位基本情况备案，9月底前完成全部监测工作并报送数据。</w:t>
      </w:r>
    </w:p>
    <w:p>
      <w:pPr>
        <w:spacing w:line="560" w:lineRule="exact"/>
        <w:ind w:left="567"/>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4.工作方式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风险监控点作为共担事权，总站负责点位布设、数据汇总及评价，市生态环境局生态科负责组织开展相关监测工作。监测任务承担单位使用总站APP开展全过程监测工作。省监测中心站组织驻地方监测中心开展省级监督抽查。总站委托第三方机构对监测过程、采样信息和分析测试结果开展监督抽查。</w:t>
      </w:r>
    </w:p>
    <w:p>
      <w:pPr>
        <w:spacing w:line="560" w:lineRule="exact"/>
        <w:ind w:left="567"/>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5.数据报送</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2023年9月底前，市生态环境局生态科将审核后的数据通过总站系统上传，并向省监测中心站提交数据报告；省监测中心站将监测数据汇总审核后上传至总站指定数据库，并同时向总站提交监测报告。</w:t>
      </w:r>
    </w:p>
    <w:p>
      <w:pPr>
        <w:spacing w:line="560" w:lineRule="exact"/>
        <w:ind w:left="567"/>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6.质量保证与质量控制</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承担监测任务的监测机构须加强监测质量保证和质量控制工作，确保监测数据真实、准确。采样、制样、分析测试等环节执行总站《国家土壤环境监测网质量体系文件》、《土壤样品采集技术规定》、《土壤样品制备流转与保存技术规定》、《土壤环境监测实验室质量控制技术规定（试行）》和《2023年国家网土壤环境监测技术要求》等。省监测中心站按照《土壤环境监测质量监督检查技术规定（试行）》组织对基础点、风险点监测实施省级质量控制和监督检查；总站按照《土壤环境监测质量监督检查技术规定（试行）》对基础点、风险点组织实施外部质量控制和监督检查。总站委托第三方机构对风险监控点开展监督抽查，对发现的数据质量问题进行通报。</w:t>
      </w:r>
    </w:p>
    <w:p>
      <w:pPr>
        <w:pStyle w:val="4"/>
        <w:ind w:firstLine="600"/>
        <w:rPr>
          <w:sz w:val="30"/>
          <w:szCs w:val="30"/>
        </w:rPr>
      </w:pPr>
      <w:bookmarkStart w:id="72" w:name="_Toc12354"/>
      <w:r>
        <w:rPr>
          <w:rFonts w:hint="eastAsia"/>
          <w:sz w:val="30"/>
          <w:szCs w:val="30"/>
        </w:rPr>
        <w:t>（十</w:t>
      </w:r>
      <w:r>
        <w:rPr>
          <w:rFonts w:hint="eastAsia"/>
          <w:sz w:val="30"/>
          <w:szCs w:val="30"/>
          <w:lang w:eastAsia="zh-CN"/>
        </w:rPr>
        <w:t>二</w:t>
      </w:r>
      <w:r>
        <w:rPr>
          <w:rFonts w:hint="eastAsia"/>
          <w:sz w:val="30"/>
          <w:szCs w:val="30"/>
        </w:rPr>
        <w:t>）省网土壤环境质量监测</w:t>
      </w:r>
      <w:bookmarkEnd w:id="71"/>
      <w:bookmarkEnd w:id="72"/>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1.监测点位</w:t>
      </w:r>
    </w:p>
    <w:p>
      <w:pPr>
        <w:spacing w:line="560" w:lineRule="exact"/>
        <w:ind w:firstLine="544"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4"/>
          <w:sz w:val="28"/>
          <w:szCs w:val="28"/>
        </w:rPr>
        <w:t>县级及以上城市集中式生活饮用水源地、备用水源地和新增在用水源地周边土壤点位，每个水源地按规范布设三个监测点。</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2.监测项目</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0-20cm表层土壤样品，监测指标如下：</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（1）土壤理化指标</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土壤pH、阳离子交换量和有机质含量。</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（2）无机污染物</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镉、汞、砷、铅、铬、铜、锌和镍等8种元素的全量。</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（3）有机项目</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有机氯农药（六六六、滴滴涕）；</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多环芳烃（萘、苊烯、苊、芴、菲、蒽、荧蒽、芘、苯并[a]蒽、䓛、苯并[b]荧蒽、苯并[k]荧蒽、苯并[a]芘、茚并[1,2,3-c,d]芘、二苯并[a,h]蒽和苯并[g,h,i]苝）。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3.监测时间</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2023年11月底前完成全部监测工作。</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4.数据报送</w:t>
      </w:r>
    </w:p>
    <w:p>
      <w:pPr>
        <w:snapToGrid w:val="0"/>
        <w:spacing w:line="560" w:lineRule="exact"/>
        <w:ind w:firstLine="560"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z w:val="28"/>
          <w:szCs w:val="28"/>
        </w:rPr>
        <w:t>市生态环境局生态科负责组织地级</w:t>
      </w:r>
      <w:r>
        <w:rPr>
          <w:rFonts w:hint="eastAsia" w:ascii="仿宋_GB2312" w:hAnsi="仿宋_GB2312" w:eastAsia="仿宋_GB2312" w:cs="仿宋_GB2312"/>
          <w:color w:val="000000"/>
          <w:spacing w:val="-4"/>
          <w:sz w:val="28"/>
          <w:szCs w:val="28"/>
        </w:rPr>
        <w:t>集中式生活饮用水源地和新增在用集中式生活饮用水源地</w:t>
      </w:r>
      <w:r>
        <w:rPr>
          <w:rFonts w:hint="eastAsia" w:ascii="仿宋_GB2312" w:hAnsi="仿宋_GB2312" w:eastAsia="仿宋_GB2312" w:cs="仿宋_GB2312"/>
          <w:color w:val="000000"/>
          <w:sz w:val="28"/>
          <w:szCs w:val="28"/>
        </w:rPr>
        <w:t>周边土壤监测工作，各分局负责辖区内县级</w:t>
      </w:r>
      <w:r>
        <w:rPr>
          <w:rFonts w:hint="eastAsia" w:ascii="仿宋_GB2312" w:hAnsi="仿宋_GB2312" w:eastAsia="仿宋_GB2312" w:cs="仿宋_GB2312"/>
          <w:color w:val="000000"/>
          <w:spacing w:val="-4"/>
          <w:sz w:val="28"/>
          <w:szCs w:val="28"/>
        </w:rPr>
        <w:t>集中式生活饮用水源地和备用集中式生活饮用水源地周边土壤监测工作。</w:t>
      </w:r>
      <w:r>
        <w:rPr>
          <w:rFonts w:hint="eastAsia" w:ascii="仿宋_GB2312" w:hAnsi="仿宋_GB2312" w:eastAsia="仿宋_GB2312" w:cs="仿宋_GB2312"/>
          <w:color w:val="000000"/>
          <w:sz w:val="28"/>
          <w:szCs w:val="28"/>
        </w:rPr>
        <w:t>生态科</w:t>
      </w:r>
      <w:r>
        <w:rPr>
          <w:rFonts w:hint="eastAsia" w:ascii="仿宋_GB2312" w:hAnsi="仿宋_GB2312" w:eastAsia="仿宋_GB2312" w:cs="仿宋_GB2312"/>
          <w:color w:val="000000"/>
          <w:spacing w:val="-4"/>
          <w:sz w:val="28"/>
          <w:szCs w:val="28"/>
        </w:rPr>
        <w:t>10月底前</w:t>
      </w:r>
      <w:r>
        <w:rPr>
          <w:rFonts w:hint="eastAsia" w:ascii="仿宋_GB2312" w:hAnsi="仿宋_GB2312" w:eastAsia="仿宋_GB2312" w:cs="仿宋_GB2312"/>
          <w:color w:val="000000"/>
          <w:sz w:val="28"/>
          <w:szCs w:val="28"/>
        </w:rPr>
        <w:t>将监测数据汇总后报送省生态环境监测中心站</w:t>
      </w:r>
      <w:r>
        <w:rPr>
          <w:rFonts w:hint="eastAsia" w:ascii="仿宋_GB2312" w:hAnsi="仿宋_GB2312" w:eastAsia="仿宋_GB2312" w:cs="仿宋_GB2312"/>
          <w:color w:val="000000"/>
          <w:spacing w:val="-4"/>
          <w:sz w:val="28"/>
          <w:szCs w:val="28"/>
        </w:rPr>
        <w:t>，11月底前报送相关监测报告。</w:t>
      </w:r>
      <w:r>
        <w:rPr>
          <w:rFonts w:hint="eastAsia" w:ascii="仿宋_GB2312" w:hAnsi="仿宋_GB2312" w:eastAsia="仿宋_GB2312" w:cs="仿宋_GB2312"/>
          <w:sz w:val="28"/>
          <w:szCs w:val="28"/>
        </w:rPr>
        <w:t>省监测中心站组织驻地方监测中心对监测过程、采样信息和分析测试结果开展监督抽查。</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5.质量保证与质量控制</w:t>
      </w:r>
    </w:p>
    <w:p>
      <w:pPr>
        <w:spacing w:line="56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质量控制参照执行总站《国家环境监测网质量体系文件》、《土壤样品采集技术规定》和《土壤样品制备流转与保存技术规定》的要求。</w:t>
      </w:r>
    </w:p>
    <w:p>
      <w:pPr>
        <w:pStyle w:val="4"/>
        <w:ind w:firstLine="600"/>
      </w:pPr>
      <w:bookmarkStart w:id="73" w:name="_Toc62822069"/>
      <w:bookmarkStart w:id="74" w:name="_Toc6844"/>
      <w:r>
        <w:rPr>
          <w:rFonts w:hint="eastAsia"/>
          <w:sz w:val="30"/>
          <w:szCs w:val="30"/>
        </w:rPr>
        <w:t>（十</w:t>
      </w:r>
      <w:r>
        <w:rPr>
          <w:rFonts w:hint="eastAsia"/>
          <w:sz w:val="30"/>
          <w:szCs w:val="30"/>
          <w:lang w:eastAsia="zh-CN"/>
        </w:rPr>
        <w:t>三</w:t>
      </w:r>
      <w:r>
        <w:rPr>
          <w:rFonts w:hint="eastAsia"/>
          <w:sz w:val="30"/>
          <w:szCs w:val="30"/>
        </w:rPr>
        <w:t>）</w:t>
      </w:r>
      <w:bookmarkEnd w:id="73"/>
      <w:bookmarkStart w:id="75" w:name="_Toc23068"/>
      <w:bookmarkStart w:id="76" w:name="_Toc2824"/>
      <w:bookmarkStart w:id="77" w:name="_Toc13971"/>
      <w:bookmarkStart w:id="78" w:name="_Toc15590"/>
      <w:bookmarkStart w:id="79" w:name="_Toc30484"/>
      <w:bookmarkStart w:id="80" w:name="_Toc2775"/>
      <w:bookmarkStart w:id="81" w:name="_Toc32497"/>
      <w:bookmarkStart w:id="82" w:name="_Toc12154"/>
      <w:bookmarkStart w:id="83" w:name="_Toc17854"/>
      <w:bookmarkStart w:id="84" w:name="_Toc62822070"/>
      <w:r>
        <w:rPr>
          <w:rFonts w:hint="eastAsia"/>
          <w:sz w:val="30"/>
          <w:szCs w:val="30"/>
        </w:rPr>
        <w:t>土壤污染重点监管单位周边土壤专项监测</w:t>
      </w:r>
      <w:bookmarkEnd w:id="74"/>
      <w:bookmarkEnd w:id="75"/>
      <w:bookmarkEnd w:id="76"/>
      <w:bookmarkEnd w:id="77"/>
      <w:bookmarkEnd w:id="78"/>
      <w:bookmarkEnd w:id="79"/>
      <w:bookmarkEnd w:id="80"/>
      <w:bookmarkEnd w:id="81"/>
      <w:bookmarkEnd w:id="82"/>
      <w:bookmarkEnd w:id="83"/>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85" w:name="_Toc29433"/>
      <w:r>
        <w:rPr>
          <w:rFonts w:hint="eastAsia" w:ascii="仿宋_GB2312" w:hAnsi="仿宋_GB2312" w:eastAsia="仿宋_GB2312" w:cs="仿宋_GB2312"/>
          <w:b w:val="0"/>
          <w:bCs/>
          <w:sz w:val="28"/>
          <w:szCs w:val="28"/>
        </w:rPr>
        <w:t>1.监测范围</w:t>
      </w:r>
      <w:bookmarkEnd w:id="85"/>
    </w:p>
    <w:p>
      <w:pPr>
        <w:pStyle w:val="6"/>
        <w:numPr>
          <w:ilvl w:val="2"/>
          <w:numId w:val="0"/>
        </w:numPr>
        <w:spacing w:line="560" w:lineRule="exact"/>
        <w:ind w:firstLine="560" w:firstLineChars="20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2022年土壤污染重点监管单位名录中的监管单位（19家）。</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2.监测内容</w:t>
      </w:r>
    </w:p>
    <w:p>
      <w:pPr>
        <w:adjustRightInd w:val="0"/>
        <w:snapToGrid w:val="0"/>
        <w:spacing w:line="55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土壤污染重点监管单位监测指标参照《土壤环境质量建设用地土壤污染风险管控标准（试行）》（GB 36600—2018）表1中所列项目（周边土壤为建设用地监测六价铬；周边土壤为农用地监测总铬），并同步监测pH。原则上每家重点监管企业和工业园区厂界红线外20米范围内的裸露土壤至少随机布设3个监测点位，尽量设置在受企业污染影响的区域，并综合考虑污染物迁移方向和周边敏感目标位置等因素，采集0—0.2米处表层土壤。水迁移影响型企业涉及易迁移污染物时，具备地下水采样条件时，需对地下水开展监测，监测项目为pH和特征污染物。</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3.监测频次</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全年监测1次。</w:t>
      </w:r>
      <w:bookmarkStart w:id="86" w:name="_Toc12496"/>
    </w:p>
    <w:p>
      <w:pPr>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bookmarkEnd w:id="86"/>
      <w:r>
        <w:rPr>
          <w:rFonts w:hint="eastAsia" w:ascii="仿宋_GB2312" w:hAnsi="仿宋_GB2312" w:eastAsia="仿宋_GB2312" w:cs="仿宋_GB2312"/>
          <w:bCs/>
          <w:sz w:val="28"/>
          <w:szCs w:val="28"/>
        </w:rPr>
        <w:t>.工作方式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土壤污染重点监管单位周边土壤专项监测为地方事权，由市生态环境局生态科负责组织实施。</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87" w:name="_Toc629"/>
      <w:r>
        <w:rPr>
          <w:rFonts w:hint="eastAsia" w:ascii="仿宋_GB2312" w:hAnsi="仿宋_GB2312" w:eastAsia="仿宋_GB2312" w:cs="仿宋_GB2312"/>
          <w:b w:val="0"/>
          <w:bCs/>
          <w:sz w:val="28"/>
          <w:szCs w:val="28"/>
        </w:rPr>
        <w:t>5.数据报送</w:t>
      </w:r>
      <w:bookmarkEnd w:id="87"/>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2023年11月底前，市生态环境局生态科将监测数据和报告报送省生态环境监测中心站。</w:t>
      </w:r>
    </w:p>
    <w:p>
      <w:pPr>
        <w:pStyle w:val="4"/>
        <w:ind w:firstLine="600"/>
      </w:pPr>
      <w:bookmarkStart w:id="88" w:name="_Toc107"/>
      <w:r>
        <w:rPr>
          <w:rFonts w:hint="eastAsia"/>
          <w:sz w:val="30"/>
          <w:szCs w:val="30"/>
        </w:rPr>
        <w:t>（十</w:t>
      </w:r>
      <w:r>
        <w:rPr>
          <w:rFonts w:hint="eastAsia"/>
          <w:sz w:val="30"/>
          <w:szCs w:val="30"/>
          <w:lang w:eastAsia="zh-CN"/>
        </w:rPr>
        <w:t>四</w:t>
      </w:r>
      <w:r>
        <w:rPr>
          <w:rFonts w:hint="eastAsia"/>
          <w:sz w:val="30"/>
          <w:szCs w:val="30"/>
        </w:rPr>
        <w:t>）重点地下水点位专项监测</w:t>
      </w:r>
      <w:bookmarkEnd w:id="88"/>
    </w:p>
    <w:p>
      <w:pPr>
        <w:pStyle w:val="6"/>
        <w:numPr>
          <w:ilvl w:val="2"/>
          <w:numId w:val="0"/>
        </w:numPr>
        <w:spacing w:line="560" w:lineRule="exact"/>
        <w:ind w:firstLine="560" w:firstLineChars="20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1.监测范围</w:t>
      </w:r>
    </w:p>
    <w:p>
      <w:pPr>
        <w:pStyle w:val="6"/>
        <w:numPr>
          <w:ilvl w:val="2"/>
          <w:numId w:val="0"/>
        </w:numPr>
        <w:spacing w:line="560" w:lineRule="exact"/>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rPr>
        <w:t>全市8个地下水环境质量监测点和3家地下水污染重点监管单位周边地下水监测点</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具体名单见下表1</w:t>
      </w: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rPr>
        <w:t>。</w:t>
      </w:r>
    </w:p>
    <w:p>
      <w:pPr>
        <w:spacing w:line="560" w:lineRule="exact"/>
        <w:ind w:firstLine="560" w:firstLineChars="200"/>
        <w:jc w:val="center"/>
        <w:rPr>
          <w:rFonts w:ascii="黑体" w:hAnsi="黑体" w:eastAsia="黑体" w:cs="黑体"/>
          <w:sz w:val="28"/>
          <w:szCs w:val="28"/>
        </w:rPr>
      </w:pPr>
    </w:p>
    <w:p>
      <w:pPr>
        <w:spacing w:line="560" w:lineRule="exact"/>
        <w:ind w:firstLine="480" w:firstLineChars="200"/>
        <w:jc w:val="center"/>
        <w:rPr>
          <w:rFonts w:ascii="黑体" w:hAnsi="黑体" w:eastAsia="黑体" w:cs="黑体"/>
          <w:sz w:val="24"/>
          <w:szCs w:val="24"/>
        </w:rPr>
      </w:pPr>
      <w:r>
        <w:rPr>
          <w:rFonts w:hint="eastAsia" w:ascii="黑体" w:hAnsi="黑体" w:eastAsia="黑体" w:cs="黑体"/>
          <w:sz w:val="24"/>
          <w:szCs w:val="24"/>
        </w:rPr>
        <w:t>表1</w:t>
      </w:r>
      <w:r>
        <w:rPr>
          <w:rFonts w:hint="eastAsia" w:ascii="黑体" w:hAnsi="黑体" w:eastAsia="黑体" w:cs="黑体"/>
          <w:sz w:val="24"/>
          <w:szCs w:val="24"/>
          <w:lang w:val="en-US" w:eastAsia="zh-CN"/>
        </w:rPr>
        <w:t>2</w:t>
      </w:r>
      <w:r>
        <w:rPr>
          <w:rFonts w:hint="eastAsia" w:ascii="黑体" w:hAnsi="黑体" w:eastAsia="黑体" w:cs="黑体"/>
          <w:sz w:val="24"/>
          <w:szCs w:val="24"/>
        </w:rPr>
        <w:t xml:space="preserve"> 重点地下水监测点</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3459"/>
        <w:gridCol w:w="1550"/>
        <w:gridCol w:w="141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5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95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点位名称</w:t>
            </w:r>
          </w:p>
        </w:tc>
        <w:tc>
          <w:tcPr>
            <w:tcW w:w="87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点位性质</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控制级别</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195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麻塘地下水</w:t>
            </w:r>
          </w:p>
        </w:tc>
        <w:tc>
          <w:tcPr>
            <w:tcW w:w="87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饮用水源地</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国家</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咸安区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2</w:t>
            </w:r>
          </w:p>
        </w:tc>
        <w:tc>
          <w:tcPr>
            <w:tcW w:w="195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楠林桥镇芦坑村</w:t>
            </w:r>
          </w:p>
        </w:tc>
        <w:tc>
          <w:tcPr>
            <w:tcW w:w="87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区域</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国家</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通山县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w:t>
            </w:r>
          </w:p>
        </w:tc>
        <w:tc>
          <w:tcPr>
            <w:tcW w:w="1957" w:type="pct"/>
            <w:vAlign w:val="center"/>
          </w:tcPr>
          <w:p>
            <w:pPr>
              <w:pStyle w:val="34"/>
              <w:spacing w:line="400" w:lineRule="exact"/>
              <w:ind w:left="0" w:leftChars="0" w:right="0" w:rightChars="0"/>
              <w:rPr>
                <w:rFonts w:ascii="黑体" w:hAnsi="黑体" w:eastAsia="黑体" w:cs="仿宋_GB2312"/>
                <w:sz w:val="21"/>
                <w:szCs w:val="21"/>
              </w:rPr>
            </w:pPr>
            <w:r>
              <w:rPr>
                <w:rFonts w:ascii="黑体" w:hAnsi="黑体" w:eastAsia="黑体"/>
                <w:color w:val="000000"/>
                <w:sz w:val="21"/>
                <w:szCs w:val="21"/>
                <w:lang w:bidi="ar"/>
              </w:rPr>
              <w:t>赤壁市区工业区</w:t>
            </w:r>
          </w:p>
        </w:tc>
        <w:tc>
          <w:tcPr>
            <w:tcW w:w="87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污染风险监控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省级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赤壁市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4</w:t>
            </w:r>
          </w:p>
        </w:tc>
        <w:tc>
          <w:tcPr>
            <w:tcW w:w="1957" w:type="pct"/>
            <w:vAlign w:val="center"/>
          </w:tcPr>
          <w:p>
            <w:pPr>
              <w:pStyle w:val="34"/>
              <w:spacing w:line="400" w:lineRule="exact"/>
              <w:ind w:left="0" w:leftChars="0" w:right="0" w:rightChars="0"/>
              <w:rPr>
                <w:rFonts w:ascii="黑体" w:hAnsi="黑体" w:eastAsia="黑体" w:cs="仿宋_GB2312"/>
                <w:sz w:val="21"/>
                <w:szCs w:val="21"/>
              </w:rPr>
            </w:pPr>
            <w:r>
              <w:rPr>
                <w:rFonts w:ascii="黑体" w:hAnsi="黑体" w:eastAsia="黑体"/>
                <w:color w:val="000000"/>
                <w:sz w:val="21"/>
                <w:szCs w:val="21"/>
                <w:lang w:bidi="ar"/>
              </w:rPr>
              <w:t>咸安区</w:t>
            </w:r>
            <w:r>
              <w:rPr>
                <w:rFonts w:hint="eastAsia" w:ascii="黑体" w:hAnsi="黑体" w:eastAsia="黑体"/>
                <w:color w:val="000000"/>
                <w:sz w:val="21"/>
                <w:szCs w:val="21"/>
                <w:lang w:bidi="ar"/>
              </w:rPr>
              <w:t>马桥镇</w:t>
            </w:r>
          </w:p>
        </w:tc>
        <w:tc>
          <w:tcPr>
            <w:tcW w:w="87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区域</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省级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咸安区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5</w:t>
            </w:r>
          </w:p>
        </w:tc>
        <w:tc>
          <w:tcPr>
            <w:tcW w:w="195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嘉鱼县潘家湾镇</w:t>
            </w:r>
          </w:p>
        </w:tc>
        <w:tc>
          <w:tcPr>
            <w:tcW w:w="87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区域</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省级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嘉鱼县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6</w:t>
            </w:r>
          </w:p>
        </w:tc>
        <w:tc>
          <w:tcPr>
            <w:tcW w:w="195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通城县银山广场</w:t>
            </w:r>
          </w:p>
        </w:tc>
        <w:tc>
          <w:tcPr>
            <w:tcW w:w="87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区域</w:t>
            </w:r>
          </w:p>
        </w:tc>
        <w:tc>
          <w:tcPr>
            <w:tcW w:w="803" w:type="pct"/>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省级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通城县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7</w:t>
            </w:r>
          </w:p>
        </w:tc>
        <w:tc>
          <w:tcPr>
            <w:tcW w:w="1957" w:type="pct"/>
            <w:vAlign w:val="center"/>
          </w:tcPr>
          <w:p>
            <w:pPr>
              <w:pStyle w:val="34"/>
              <w:spacing w:line="400" w:lineRule="exact"/>
              <w:ind w:left="0" w:leftChars="0" w:right="0" w:rightChars="0"/>
              <w:rPr>
                <w:rFonts w:ascii="黑体" w:hAnsi="黑体" w:eastAsia="黑体" w:cs="仿宋_GB2312"/>
                <w:sz w:val="21"/>
                <w:szCs w:val="21"/>
              </w:rPr>
            </w:pPr>
            <w:r>
              <w:rPr>
                <w:rFonts w:hint="eastAsia" w:ascii="黑体" w:hAnsi="黑体" w:eastAsia="黑体"/>
                <w:color w:val="000000"/>
                <w:sz w:val="21"/>
                <w:szCs w:val="21"/>
                <w:lang w:bidi="ar"/>
              </w:rPr>
              <w:t>崇阳县</w:t>
            </w:r>
            <w:r>
              <w:rPr>
                <w:rFonts w:ascii="黑体" w:hAnsi="黑体" w:eastAsia="黑体"/>
                <w:color w:val="000000"/>
                <w:sz w:val="21"/>
                <w:szCs w:val="21"/>
                <w:lang w:bidi="ar"/>
              </w:rPr>
              <w:t>铜钟乡清水村冯家</w:t>
            </w:r>
            <w:r>
              <w:rPr>
                <w:rFonts w:hint="eastAsia" w:ascii="黑体" w:hAnsi="黑体" w:eastAsia="黑体"/>
                <w:color w:val="000000"/>
                <w:sz w:val="21"/>
                <w:szCs w:val="21"/>
                <w:lang w:bidi="ar"/>
              </w:rPr>
              <w:t>泉</w:t>
            </w:r>
          </w:p>
        </w:tc>
        <w:tc>
          <w:tcPr>
            <w:tcW w:w="87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区域</w:t>
            </w:r>
          </w:p>
        </w:tc>
        <w:tc>
          <w:tcPr>
            <w:tcW w:w="803" w:type="pct"/>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省级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崇阳县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8</w:t>
            </w:r>
          </w:p>
        </w:tc>
        <w:tc>
          <w:tcPr>
            <w:tcW w:w="195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赤壁市中伙铺高桥村</w:t>
            </w:r>
          </w:p>
        </w:tc>
        <w:tc>
          <w:tcPr>
            <w:tcW w:w="87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区域</w:t>
            </w:r>
          </w:p>
        </w:tc>
        <w:tc>
          <w:tcPr>
            <w:tcW w:w="803" w:type="pct"/>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省级</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赤壁市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9</w:t>
            </w:r>
          </w:p>
        </w:tc>
        <w:tc>
          <w:tcPr>
            <w:tcW w:w="195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湖北汇楚危险废物处置有限公司</w:t>
            </w:r>
          </w:p>
        </w:tc>
        <w:tc>
          <w:tcPr>
            <w:tcW w:w="877" w:type="pct"/>
            <w:vMerge w:val="restar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地下水污染防治重点排污单位</w:t>
            </w:r>
          </w:p>
        </w:tc>
        <w:tc>
          <w:tcPr>
            <w:tcW w:w="803" w:type="pct"/>
            <w:vMerge w:val="restar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咸安区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10</w:t>
            </w:r>
          </w:p>
        </w:tc>
        <w:tc>
          <w:tcPr>
            <w:tcW w:w="195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咸宁市中德环保电力有限公司</w:t>
            </w:r>
          </w:p>
        </w:tc>
        <w:tc>
          <w:tcPr>
            <w:tcW w:w="877" w:type="pct"/>
            <w:vMerge w:val="continue"/>
            <w:vAlign w:val="center"/>
          </w:tcPr>
          <w:p>
            <w:pPr>
              <w:pStyle w:val="34"/>
              <w:spacing w:line="400" w:lineRule="exact"/>
              <w:ind w:left="0" w:leftChars="0" w:right="0" w:rightChars="0"/>
              <w:rPr>
                <w:rFonts w:ascii="仿宋_GB2312" w:hAnsi="仿宋_GB2312" w:eastAsia="仿宋_GB2312" w:cs="仿宋_GB2312"/>
                <w:sz w:val="21"/>
                <w:szCs w:val="21"/>
              </w:rPr>
            </w:pPr>
          </w:p>
        </w:tc>
        <w:tc>
          <w:tcPr>
            <w:tcW w:w="803" w:type="pct"/>
            <w:vMerge w:val="continue"/>
          </w:tcPr>
          <w:p>
            <w:pPr>
              <w:spacing w:line="400" w:lineRule="exact"/>
              <w:jc w:val="center"/>
              <w:rPr>
                <w:rFonts w:ascii="仿宋_GB2312" w:hAnsi="仿宋_GB2312" w:eastAsia="仿宋_GB2312" w:cs="仿宋_GB2312"/>
                <w:szCs w:val="21"/>
              </w:rPr>
            </w:pP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咸安区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34"/>
              <w:spacing w:line="400" w:lineRule="exact"/>
              <w:ind w:left="0" w:leftChars="0" w:right="0" w:rightChars="0"/>
              <w:rPr>
                <w:rFonts w:ascii="仿宋_GB2312" w:hAnsi="仿宋_GB2312" w:eastAsia="仿宋_GB2312" w:cs="仿宋_GB2312"/>
                <w:bCs/>
                <w:sz w:val="21"/>
                <w:szCs w:val="21"/>
              </w:rPr>
            </w:pPr>
            <w:r>
              <w:rPr>
                <w:rFonts w:hint="eastAsia" w:ascii="仿宋_GB2312" w:hAnsi="仿宋_GB2312" w:eastAsia="仿宋_GB2312" w:cs="仿宋_GB2312"/>
                <w:bCs/>
                <w:sz w:val="21"/>
                <w:szCs w:val="21"/>
              </w:rPr>
              <w:t>11</w:t>
            </w:r>
          </w:p>
        </w:tc>
        <w:tc>
          <w:tcPr>
            <w:tcW w:w="1957"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崇阳城市生活垃圾填埋场</w:t>
            </w:r>
          </w:p>
        </w:tc>
        <w:tc>
          <w:tcPr>
            <w:tcW w:w="877" w:type="pct"/>
            <w:vMerge w:val="continue"/>
            <w:vAlign w:val="center"/>
          </w:tcPr>
          <w:p>
            <w:pPr>
              <w:pStyle w:val="34"/>
              <w:spacing w:line="400" w:lineRule="exact"/>
              <w:ind w:left="0" w:leftChars="0" w:right="0" w:rightChars="0"/>
              <w:rPr>
                <w:rFonts w:ascii="仿宋_GB2312" w:hAnsi="仿宋_GB2312" w:eastAsia="仿宋_GB2312" w:cs="仿宋_GB2312"/>
                <w:sz w:val="21"/>
                <w:szCs w:val="21"/>
              </w:rPr>
            </w:pPr>
          </w:p>
        </w:tc>
        <w:tc>
          <w:tcPr>
            <w:tcW w:w="803" w:type="pct"/>
            <w:vMerge w:val="continue"/>
          </w:tcPr>
          <w:p>
            <w:pPr>
              <w:spacing w:line="400" w:lineRule="exact"/>
              <w:jc w:val="center"/>
              <w:rPr>
                <w:rFonts w:ascii="仿宋_GB2312" w:hAnsi="仿宋_GB2312" w:eastAsia="仿宋_GB2312" w:cs="仿宋_GB2312"/>
                <w:szCs w:val="21"/>
              </w:rPr>
            </w:pPr>
          </w:p>
        </w:tc>
        <w:tc>
          <w:tcPr>
            <w:tcW w:w="803" w:type="pct"/>
            <w:vAlign w:val="center"/>
          </w:tcPr>
          <w:p>
            <w:pPr>
              <w:pStyle w:val="34"/>
              <w:spacing w:line="400" w:lineRule="exact"/>
              <w:ind w:left="0" w:leftChars="0" w:right="0" w:rightChars="0"/>
              <w:rPr>
                <w:rFonts w:ascii="仿宋_GB2312" w:hAnsi="仿宋_GB2312" w:eastAsia="仿宋_GB2312" w:cs="仿宋_GB2312"/>
                <w:sz w:val="21"/>
                <w:szCs w:val="21"/>
              </w:rPr>
            </w:pPr>
            <w:r>
              <w:rPr>
                <w:rFonts w:hint="eastAsia" w:ascii="仿宋_GB2312" w:hAnsi="仿宋_GB2312" w:eastAsia="仿宋_GB2312" w:cs="仿宋_GB2312"/>
                <w:sz w:val="21"/>
                <w:szCs w:val="21"/>
              </w:rPr>
              <w:t>崇阳县</w:t>
            </w:r>
          </w:p>
        </w:tc>
      </w:tr>
    </w:tbl>
    <w:p/>
    <w:p>
      <w:pPr>
        <w:pStyle w:val="6"/>
        <w:numPr>
          <w:ilvl w:val="2"/>
          <w:numId w:val="0"/>
        </w:numPr>
        <w:spacing w:line="560" w:lineRule="exact"/>
        <w:ind w:firstLine="560" w:firstLineChars="20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2.监测内容</w:t>
      </w:r>
    </w:p>
    <w:p>
      <w:pPr>
        <w:adjustRightInd w:val="0"/>
        <w:snapToGrid w:val="0"/>
        <w:spacing w:line="55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基本指标：《地下水质量标准》（GB/T 14848—2017）表1常规指标中的37项。</w:t>
      </w:r>
    </w:p>
    <w:p>
      <w:pPr>
        <w:pStyle w:val="2"/>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特征指标：</w:t>
      </w:r>
      <w:r>
        <w:rPr>
          <w:rFonts w:hint="eastAsia" w:ascii="仿宋_GB2312" w:hAnsi="仿宋_GB2312" w:eastAsia="仿宋_GB2312" w:cs="仿宋_GB2312"/>
          <w:sz w:val="28"/>
          <w:szCs w:val="28"/>
          <w:lang w:eastAsia="zh-CN"/>
        </w:rPr>
        <w:t>根</w:t>
      </w:r>
      <w:r>
        <w:rPr>
          <w:rFonts w:hint="eastAsia" w:ascii="仿宋_GB2312" w:hAnsi="仿宋_GB2312" w:eastAsia="仿宋_GB2312" w:cs="仿宋_GB2312"/>
          <w:sz w:val="28"/>
          <w:szCs w:val="28"/>
        </w:rPr>
        <w:t>据实际情况确定</w:t>
      </w:r>
      <w:r>
        <w:rPr>
          <w:rFonts w:hint="eastAsia" w:ascii="仿宋_GB2312" w:hAnsi="仿宋_GB2312" w:eastAsia="仿宋_GB2312" w:cs="仿宋_GB2312"/>
          <w:sz w:val="28"/>
          <w:szCs w:val="28"/>
          <w:lang w:eastAsia="zh-CN"/>
        </w:rPr>
        <w:t>。</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3.监测频次</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全年监测2次，丰水期和枯水期各监测1次，其中麻塘地下水监测点在平水期补充监测1次。</w:t>
      </w:r>
    </w:p>
    <w:p>
      <w:pPr>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4.工作方式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由市生态环境局生态科负责组织实施，相关县（市、区）协助进行。</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5.数据报送</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2023年11月底前，市生态环境局生态科将监测数据反馈给相关科室。</w:t>
      </w:r>
    </w:p>
    <w:p>
      <w:pPr>
        <w:pStyle w:val="2"/>
        <w:ind w:firstLine="560"/>
        <w:rPr>
          <w:rFonts w:ascii="仿宋_GB2312" w:hAnsi="仿宋_GB2312" w:eastAsia="仿宋_GB2312" w:cs="仿宋_GB2312"/>
          <w:sz w:val="28"/>
          <w:szCs w:val="28"/>
        </w:rPr>
      </w:pPr>
    </w:p>
    <w:p>
      <w:pPr>
        <w:pStyle w:val="3"/>
        <w:rPr>
          <w:rFonts w:hAnsi="仿宋_GB2312"/>
          <w:sz w:val="28"/>
          <w:szCs w:val="28"/>
        </w:rPr>
      </w:pPr>
    </w:p>
    <w:p>
      <w:pPr>
        <w:pStyle w:val="2"/>
        <w:numPr>
          <w:ilvl w:val="0"/>
          <w:numId w:val="2"/>
        </w:numPr>
        <w:ind w:firstLine="643"/>
        <w:jc w:val="center"/>
        <w:outlineLvl w:val="0"/>
        <w:rPr>
          <w:rFonts w:ascii="黑体" w:hAnsi="黑体" w:eastAsia="黑体" w:cs="黑体"/>
          <w:b/>
          <w:bCs/>
          <w:sz w:val="32"/>
          <w:szCs w:val="32"/>
          <w:lang w:val="en-US"/>
        </w:rPr>
      </w:pPr>
      <w:bookmarkStart w:id="89" w:name="_Toc31166"/>
      <w:r>
        <w:rPr>
          <w:rFonts w:hint="eastAsia" w:ascii="黑体" w:hAnsi="黑体" w:eastAsia="黑体" w:cs="黑体"/>
          <w:b/>
          <w:bCs/>
          <w:sz w:val="32"/>
          <w:szCs w:val="32"/>
          <w:lang w:val="en-US"/>
        </w:rPr>
        <w:t>生态监测及其它专项监测</w:t>
      </w:r>
      <w:bookmarkEnd w:id="89"/>
    </w:p>
    <w:p>
      <w:pPr>
        <w:pStyle w:val="2"/>
        <w:ind w:firstLine="560"/>
        <w:rPr>
          <w:rFonts w:ascii="仿宋_GB2312" w:hAnsi="仿宋_GB2312" w:eastAsia="仿宋_GB2312" w:cs="仿宋_GB2312"/>
          <w:sz w:val="28"/>
          <w:szCs w:val="28"/>
        </w:rPr>
      </w:pPr>
    </w:p>
    <w:p>
      <w:pPr>
        <w:pStyle w:val="4"/>
        <w:ind w:firstLine="600"/>
      </w:pPr>
      <w:bookmarkStart w:id="90" w:name="_Toc403"/>
      <w:r>
        <w:rPr>
          <w:rFonts w:hint="eastAsia"/>
          <w:sz w:val="30"/>
          <w:szCs w:val="30"/>
        </w:rPr>
        <w:t>（十</w:t>
      </w:r>
      <w:r>
        <w:rPr>
          <w:rFonts w:hint="eastAsia"/>
          <w:sz w:val="30"/>
          <w:szCs w:val="30"/>
          <w:lang w:eastAsia="zh-CN"/>
        </w:rPr>
        <w:t>五</w:t>
      </w:r>
      <w:r>
        <w:rPr>
          <w:rFonts w:hint="eastAsia"/>
          <w:sz w:val="30"/>
          <w:szCs w:val="30"/>
        </w:rPr>
        <w:t>）国家重点生态功能区县域环境质量监测</w:t>
      </w:r>
      <w:bookmarkEnd w:id="84"/>
      <w:bookmarkEnd w:id="90"/>
    </w:p>
    <w:p>
      <w:pPr>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1.监测区域</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通城县、通山县</w:t>
      </w:r>
    </w:p>
    <w:p>
      <w:pPr>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Cs/>
          <w:sz w:val="28"/>
          <w:szCs w:val="28"/>
        </w:rPr>
        <w:t>监测内容</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县域的地表水水质、县城在用集中式饮用水水源地水质、县城环境空气质量、供水人口在10000人或日供水1000吨以上的（以下简称万人千吨）县域农村饮用水水源地水质、县域地下水监测。</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地表水监测项目为《地表水环境质量标准》（GB3838-2002）表1的基本项目（23项，粪大肠菌群除外）。</w:t>
      </w:r>
    </w:p>
    <w:p>
      <w:pPr>
        <w:snapToGrid w:val="0"/>
        <w:spacing w:line="560" w:lineRule="exact"/>
        <w:ind w:firstLine="560" w:firstLineChars="200"/>
        <w:rPr>
          <w:rFonts w:ascii="仿宋_GB2312" w:hAnsi="仿宋_GB2312" w:eastAsia="仿宋_GB2312" w:cs="仿宋_GB2312"/>
          <w:sz w:val="28"/>
          <w:szCs w:val="28"/>
          <w:shd w:val="clear" w:color="auto" w:fill="FFFF00"/>
        </w:rPr>
      </w:pPr>
      <w:r>
        <w:rPr>
          <w:rFonts w:hint="eastAsia" w:ascii="仿宋_GB2312" w:hAnsi="仿宋_GB2312" w:eastAsia="仿宋_GB2312" w:cs="仿宋_GB2312"/>
          <w:sz w:val="28"/>
          <w:szCs w:val="28"/>
        </w:rPr>
        <w:t>县城在用集中式饮用水源地分为地表水水源地和地下水水源地，其中地表水水源地监测项目为《地表水环境质量标准》（GB 3838-2002）表1的基本项目（23项，化学需氧量除外，河流总氮除外）、表2的补充指标（5项）和表3的优选特定指标（33项），共61项；地下水水源地监测项目为《地下水质量标准》（GB/T14848-2017）表1基本项目39项指标。</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环境空气质量监测项目为二氧化硫（SO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）、氮氧化物（NO-NO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-NO</w:t>
      </w:r>
      <w:r>
        <w:rPr>
          <w:rFonts w:hint="eastAsia" w:ascii="仿宋_GB2312" w:hAnsi="仿宋_GB2312" w:eastAsia="仿宋_GB2312" w:cs="仿宋_GB2312"/>
          <w:sz w:val="28"/>
          <w:szCs w:val="28"/>
          <w:vertAlign w:val="subscript"/>
        </w:rPr>
        <w:t>X</w:t>
      </w:r>
      <w:r>
        <w:rPr>
          <w:rFonts w:hint="eastAsia" w:ascii="仿宋_GB2312" w:hAnsi="仿宋_GB2312" w:eastAsia="仿宋_GB2312" w:cs="仿宋_GB2312"/>
          <w:sz w:val="28"/>
          <w:szCs w:val="28"/>
        </w:rPr>
        <w:t>）、可吸入颗粒物（PM</w:t>
      </w:r>
      <w:r>
        <w:rPr>
          <w:rFonts w:hint="eastAsia" w:ascii="仿宋_GB2312" w:hAnsi="仿宋_GB2312" w:eastAsia="仿宋_GB2312" w:cs="仿宋_GB2312"/>
          <w:sz w:val="28"/>
          <w:szCs w:val="28"/>
          <w:vertAlign w:val="subscript"/>
        </w:rPr>
        <w:t>10</w:t>
      </w:r>
      <w:r>
        <w:rPr>
          <w:rFonts w:hint="eastAsia" w:ascii="仿宋_GB2312" w:hAnsi="仿宋_GB2312" w:eastAsia="仿宋_GB2312" w:cs="仿宋_GB2312"/>
          <w:sz w:val="28"/>
          <w:szCs w:val="28"/>
        </w:rPr>
        <w:t>）、细颗粒物（PM</w:t>
      </w:r>
      <w:r>
        <w:rPr>
          <w:rFonts w:hint="eastAsia" w:ascii="仿宋_GB2312" w:hAnsi="仿宋_GB2312" w:eastAsia="仿宋_GB2312" w:cs="仿宋_GB2312"/>
          <w:sz w:val="28"/>
          <w:szCs w:val="28"/>
          <w:vertAlign w:val="subscript"/>
        </w:rPr>
        <w:t>2.5</w:t>
      </w:r>
      <w:r>
        <w:rPr>
          <w:rFonts w:hint="eastAsia" w:ascii="仿宋_GB2312" w:hAnsi="仿宋_GB2312" w:eastAsia="仿宋_GB2312" w:cs="仿宋_GB2312"/>
          <w:sz w:val="28"/>
          <w:szCs w:val="28"/>
        </w:rPr>
        <w:t>）、一氧化碳（CO）和臭氧（O</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w:t>
      </w:r>
    </w:p>
    <w:p>
      <w:pPr>
        <w:snapToGrid w:val="0"/>
        <w:spacing w:line="560" w:lineRule="exact"/>
        <w:ind w:firstLine="560" w:firstLineChars="200"/>
        <w:rPr>
          <w:rFonts w:ascii="仿宋_GB2312" w:hAnsi="仿宋_GB2312" w:eastAsia="仿宋_GB2312" w:cs="仿宋_GB2312"/>
          <w:sz w:val="28"/>
          <w:szCs w:val="28"/>
          <w:shd w:val="clear" w:color="auto" w:fill="FFFF00"/>
        </w:rPr>
      </w:pPr>
      <w:r>
        <w:rPr>
          <w:rFonts w:hint="eastAsia" w:ascii="仿宋_GB2312" w:hAnsi="仿宋_GB2312" w:eastAsia="仿宋_GB2312" w:cs="仿宋_GB2312"/>
          <w:sz w:val="28"/>
          <w:szCs w:val="28"/>
        </w:rPr>
        <w:t>县域农村万人千吨饮用水水源地分为地表水水源地和地下水水源地，其中地表水水源地监测项目为《地表水环境质量标准》（GB 3838-2002）表1的基本项目（23项，化学需氧量除外，河流总氮除外）、表2的补充指标（5项），共28项；地下水水源地监测项目为《地下水质量标准》（GB/T14848-2017）表1基本项目39项指标。</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县域地下水监测水质和水位，其中水质监测项目为《地下水质量标准》（GB/T14848-2017）表1基本项目39项指标。</w:t>
      </w:r>
      <w:bookmarkStart w:id="91" w:name="_Toc446591026"/>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3.监测频次</w:t>
      </w:r>
      <w:bookmarkEnd w:id="91"/>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地表水水质按月完成地表水水质采样及实验室分析工作（前后两次采样至少间隔20天）。</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县城在用集中式饮用水水源地，地表水水源地每季度采样1次，地下水水源地每半年采样一次（前后两次采样至少间隔4个月）。如遇异常情况，则需加密监测。每两年（第双数年）开展1次水质全分析监测。</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县城环境空气质量采用自动监测方式，每天24小时连续监测。</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县域农村万人千吨饮用水水源地，地表水水源地每季度采样1次，地下水水源地每半年采样一次（前后两次采样至少间隔4个月）。如遇异常情况，则需加密监测。</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县域地下水监测水质和水位，其中水质监测每半年采样一次（前后两次采样至少间隔4个月）；水位采用自动监测仪监测。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4.工作方式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域地表水、空气质量监测全部为国控、省控点位，其中国控点由国家组织开展监测，省控点位由省生态环境厅组织省监测中心站及驻地方监测中心开展监测。县域集中式饮用水水源地水质、县域农村万人千吨饮用水水源地水质、县域地下水监测全部由县级地方政府组织实施，省监测中心站给予技术指导以及开展质控抽查检查。</w:t>
      </w:r>
    </w:p>
    <w:p>
      <w:pPr>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Cs/>
          <w:sz w:val="28"/>
          <w:szCs w:val="28"/>
        </w:rPr>
        <w:t>5.监测数据报送</w:t>
      </w:r>
    </w:p>
    <w:p>
      <w:pPr>
        <w:snapToGrid w:val="0"/>
        <w:spacing w:line="560" w:lineRule="exact"/>
        <w:ind w:firstLine="560" w:firstLineChars="200"/>
        <w:rPr>
          <w:rFonts w:ascii="仿宋_GB2312" w:hAnsi="仿宋_GB2312" w:eastAsia="仿宋_GB2312" w:cs="仿宋_GB2312"/>
          <w:sz w:val="28"/>
          <w:szCs w:val="28"/>
        </w:rPr>
      </w:pPr>
      <w:bookmarkStart w:id="92" w:name="_Toc62822071"/>
      <w:r>
        <w:rPr>
          <w:rFonts w:hint="eastAsia" w:ascii="仿宋_GB2312" w:hAnsi="仿宋_GB2312" w:eastAsia="仿宋_GB2312" w:cs="仿宋_GB2312"/>
          <w:sz w:val="28"/>
          <w:szCs w:val="28"/>
        </w:rPr>
        <w:t>县域地表水水质、环境空气自动监测数据、集中式饮用水水源地监测数据由省监测中心站统一调取相关县域的省网平台数据，按季度或半年通过国家环境监测数据平台报送总站。</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域农村“千吨万人”饮用水水源地水质、县域地下水监测数据以县为单位报送，按季度或半年通过“县级县域生态环境质量数据填报系统”报送省监测中心站，省监测中心站审核后，通过国家环境监测数据平台报送总站。</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县域生态环境质量监管指标数据及自查报告以县为单位报送，11月10日前通过“县级县域生态环境质量数据填报系统”报送省监测中心站。</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93" w:name="_Toc31629"/>
      <w:r>
        <w:rPr>
          <w:rFonts w:hint="eastAsia" w:ascii="仿宋_GB2312" w:hAnsi="仿宋_GB2312" w:eastAsia="仿宋_GB2312" w:cs="仿宋_GB2312"/>
          <w:b w:val="0"/>
          <w:bCs/>
          <w:sz w:val="28"/>
          <w:szCs w:val="28"/>
        </w:rPr>
        <w:t>6.质量保证与质量控制</w:t>
      </w:r>
      <w:bookmarkEnd w:id="93"/>
    </w:p>
    <w:p>
      <w:pPr>
        <w:snapToGrid w:val="0"/>
        <w:spacing w:line="560" w:lineRule="exact"/>
        <w:ind w:firstLine="64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环境监测质量保证与质量控制执行《地表水和污水监测技术规范》（HJ/T91—2002）以及相关技术规范。环境质量监测点位管理执行《县域生态环境质量监测与评价点位（断面）管理办法》（环办监测〔2019〕59号）有关要求。</w:t>
      </w:r>
    </w:p>
    <w:p>
      <w:pPr>
        <w:pStyle w:val="4"/>
        <w:ind w:firstLine="600"/>
      </w:pPr>
      <w:bookmarkStart w:id="94" w:name="_Toc30164"/>
      <w:r>
        <w:rPr>
          <w:rFonts w:hint="eastAsia"/>
          <w:sz w:val="30"/>
          <w:szCs w:val="30"/>
        </w:rPr>
        <w:t>（十</w:t>
      </w:r>
      <w:r>
        <w:rPr>
          <w:rFonts w:hint="eastAsia"/>
          <w:sz w:val="30"/>
          <w:szCs w:val="30"/>
          <w:lang w:eastAsia="zh-CN"/>
        </w:rPr>
        <w:t>六</w:t>
      </w:r>
      <w:r>
        <w:rPr>
          <w:rFonts w:hint="eastAsia"/>
          <w:sz w:val="30"/>
          <w:szCs w:val="30"/>
        </w:rPr>
        <w:t>）农村环境质量监测</w:t>
      </w:r>
      <w:bookmarkEnd w:id="92"/>
      <w:bookmarkEnd w:id="94"/>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1.监测点位</w:t>
      </w:r>
    </w:p>
    <w:p>
      <w:pPr>
        <w:spacing w:line="560" w:lineRule="exact"/>
        <w:ind w:firstLine="480" w:firstLineChars="200"/>
        <w:jc w:val="center"/>
        <w:rPr>
          <w:rFonts w:ascii="黑体" w:hAnsi="Times New Roman" w:eastAsia="黑体" w:cs="Times New Roman"/>
          <w:color w:val="000000"/>
          <w:sz w:val="24"/>
          <w:szCs w:val="24"/>
        </w:rPr>
      </w:pPr>
      <w:r>
        <w:rPr>
          <w:rFonts w:hint="eastAsia" w:ascii="黑体" w:hAnsi="黑体" w:eastAsia="黑体" w:cs="黑体"/>
          <w:color w:val="000000"/>
          <w:sz w:val="24"/>
          <w:szCs w:val="24"/>
        </w:rPr>
        <w:t>表1</w:t>
      </w:r>
      <w:r>
        <w:rPr>
          <w:rFonts w:hint="eastAsia" w:ascii="黑体" w:hAnsi="黑体" w:eastAsia="黑体" w:cs="黑体"/>
          <w:color w:val="000000"/>
          <w:sz w:val="24"/>
          <w:szCs w:val="24"/>
          <w:lang w:val="en-US" w:eastAsia="zh-CN"/>
        </w:rPr>
        <w:t>3</w:t>
      </w:r>
      <w:r>
        <w:rPr>
          <w:rFonts w:hint="eastAsia" w:ascii="黑体" w:hAnsi="黑体" w:eastAsia="黑体" w:cs="黑体"/>
          <w:color w:val="000000"/>
          <w:sz w:val="24"/>
          <w:szCs w:val="24"/>
        </w:rPr>
        <w:t xml:space="preserve"> 咸宁市重点监控村庄名单</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870"/>
        <w:gridCol w:w="3094"/>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95" w:name="_Toc30051"/>
            <w:r>
              <w:rPr>
                <w:rFonts w:hint="eastAsia" w:ascii="仿宋_GB2312" w:hAnsi="仿宋_GB2312" w:eastAsia="仿宋_GB2312" w:cs="仿宋_GB2312"/>
                <w:b/>
                <w:bCs/>
                <w:szCs w:val="21"/>
              </w:rPr>
              <w:t>序号</w:t>
            </w:r>
            <w:bookmarkEnd w:id="95"/>
          </w:p>
        </w:tc>
        <w:tc>
          <w:tcPr>
            <w:tcW w:w="1058"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96" w:name="_Toc1288"/>
            <w:r>
              <w:rPr>
                <w:rFonts w:hint="eastAsia" w:ascii="仿宋_GB2312" w:hAnsi="仿宋_GB2312" w:eastAsia="仿宋_GB2312" w:cs="仿宋_GB2312"/>
                <w:b/>
                <w:bCs/>
                <w:szCs w:val="21"/>
              </w:rPr>
              <w:t>县市区</w:t>
            </w:r>
            <w:bookmarkEnd w:id="96"/>
          </w:p>
        </w:tc>
        <w:tc>
          <w:tcPr>
            <w:tcW w:w="1751"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97" w:name="_Toc24924"/>
            <w:r>
              <w:rPr>
                <w:rFonts w:hint="eastAsia" w:ascii="仿宋_GB2312" w:hAnsi="仿宋_GB2312" w:eastAsia="仿宋_GB2312" w:cs="仿宋_GB2312"/>
                <w:b/>
                <w:bCs/>
                <w:szCs w:val="21"/>
              </w:rPr>
              <w:t>乡 镇</w:t>
            </w:r>
            <w:bookmarkEnd w:id="97"/>
          </w:p>
        </w:tc>
        <w:tc>
          <w:tcPr>
            <w:tcW w:w="1132"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98" w:name="_Toc4295"/>
            <w:r>
              <w:rPr>
                <w:rFonts w:hint="eastAsia" w:ascii="仿宋_GB2312" w:hAnsi="仿宋_GB2312" w:eastAsia="仿宋_GB2312" w:cs="仿宋_GB2312"/>
                <w:b/>
                <w:bCs/>
                <w:szCs w:val="21"/>
              </w:rPr>
              <w:t>村庄</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pct"/>
            <w:vAlign w:val="center"/>
          </w:tcPr>
          <w:p>
            <w:pPr>
              <w:tabs>
                <w:tab w:val="left" w:pos="855"/>
                <w:tab w:val="left" w:pos="1440"/>
              </w:tabs>
              <w:spacing w:line="400" w:lineRule="exact"/>
              <w:jc w:val="center"/>
              <w:rPr>
                <w:rFonts w:ascii="仿宋_GB2312" w:eastAsia="仿宋_GB2312"/>
                <w:szCs w:val="21"/>
              </w:rPr>
            </w:pPr>
            <w:bookmarkStart w:id="99" w:name="_Toc17096"/>
            <w:r>
              <w:rPr>
                <w:rFonts w:ascii="仿宋_GB2312" w:eastAsia="仿宋_GB2312"/>
                <w:szCs w:val="21"/>
              </w:rPr>
              <w:t>1</w:t>
            </w:r>
            <w:bookmarkEnd w:id="99"/>
          </w:p>
        </w:tc>
        <w:tc>
          <w:tcPr>
            <w:tcW w:w="1058" w:type="pct"/>
            <w:vAlign w:val="center"/>
          </w:tcPr>
          <w:p>
            <w:pPr>
              <w:tabs>
                <w:tab w:val="left" w:pos="855"/>
                <w:tab w:val="left" w:pos="1440"/>
              </w:tabs>
              <w:spacing w:line="400" w:lineRule="exact"/>
              <w:jc w:val="center"/>
              <w:rPr>
                <w:rFonts w:ascii="仿宋_GB2312" w:eastAsia="仿宋_GB2312"/>
                <w:szCs w:val="21"/>
              </w:rPr>
            </w:pPr>
            <w:bookmarkStart w:id="100" w:name="_Toc941"/>
            <w:r>
              <w:rPr>
                <w:rFonts w:hint="eastAsia" w:ascii="仿宋_GB2312" w:eastAsia="仿宋_GB2312"/>
                <w:szCs w:val="21"/>
              </w:rPr>
              <w:t>咸安区</w:t>
            </w:r>
            <w:bookmarkEnd w:id="100"/>
          </w:p>
        </w:tc>
        <w:tc>
          <w:tcPr>
            <w:tcW w:w="1751" w:type="pct"/>
            <w:vAlign w:val="center"/>
          </w:tcPr>
          <w:p>
            <w:pPr>
              <w:tabs>
                <w:tab w:val="left" w:pos="855"/>
                <w:tab w:val="left" w:pos="1440"/>
              </w:tabs>
              <w:spacing w:line="400" w:lineRule="exact"/>
              <w:jc w:val="center"/>
              <w:rPr>
                <w:rFonts w:ascii="仿宋_GB2312" w:eastAsia="仿宋_GB2312"/>
                <w:szCs w:val="21"/>
              </w:rPr>
            </w:pPr>
            <w:bookmarkStart w:id="101" w:name="_Toc13616"/>
            <w:r>
              <w:rPr>
                <w:rFonts w:hint="eastAsia" w:ascii="仿宋_GB2312" w:eastAsia="仿宋_GB2312"/>
                <w:szCs w:val="21"/>
              </w:rPr>
              <w:t>桂花镇</w:t>
            </w:r>
            <w:bookmarkEnd w:id="101"/>
          </w:p>
        </w:tc>
        <w:tc>
          <w:tcPr>
            <w:tcW w:w="1132" w:type="pct"/>
            <w:vAlign w:val="center"/>
          </w:tcPr>
          <w:p>
            <w:pPr>
              <w:tabs>
                <w:tab w:val="left" w:pos="855"/>
                <w:tab w:val="left" w:pos="1440"/>
              </w:tabs>
              <w:spacing w:line="400" w:lineRule="exact"/>
              <w:jc w:val="center"/>
              <w:rPr>
                <w:rFonts w:ascii="仿宋_GB2312" w:eastAsia="仿宋_GB2312"/>
                <w:szCs w:val="21"/>
              </w:rPr>
            </w:pPr>
            <w:bookmarkStart w:id="102" w:name="_Toc6461"/>
            <w:r>
              <w:rPr>
                <w:rFonts w:hint="eastAsia" w:ascii="仿宋_GB2312" w:eastAsia="仿宋_GB2312"/>
                <w:szCs w:val="21"/>
              </w:rPr>
              <w:t>刘家桥村</w:t>
            </w:r>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pct"/>
            <w:vAlign w:val="center"/>
          </w:tcPr>
          <w:p>
            <w:pPr>
              <w:tabs>
                <w:tab w:val="left" w:pos="855"/>
                <w:tab w:val="left" w:pos="1440"/>
              </w:tabs>
              <w:spacing w:line="400" w:lineRule="exact"/>
              <w:jc w:val="center"/>
              <w:rPr>
                <w:rFonts w:ascii="仿宋_GB2312" w:eastAsia="仿宋_GB2312"/>
                <w:szCs w:val="21"/>
              </w:rPr>
            </w:pPr>
            <w:bookmarkStart w:id="103" w:name="_Toc17352"/>
            <w:r>
              <w:rPr>
                <w:rFonts w:ascii="仿宋_GB2312" w:eastAsia="仿宋_GB2312"/>
                <w:szCs w:val="21"/>
              </w:rPr>
              <w:t>2</w:t>
            </w:r>
            <w:bookmarkEnd w:id="103"/>
          </w:p>
        </w:tc>
        <w:tc>
          <w:tcPr>
            <w:tcW w:w="1058" w:type="pct"/>
            <w:vAlign w:val="center"/>
          </w:tcPr>
          <w:p>
            <w:pPr>
              <w:tabs>
                <w:tab w:val="left" w:pos="855"/>
                <w:tab w:val="left" w:pos="1440"/>
              </w:tabs>
              <w:spacing w:line="400" w:lineRule="exact"/>
              <w:jc w:val="center"/>
              <w:rPr>
                <w:rFonts w:ascii="仿宋_GB2312" w:eastAsia="仿宋_GB2312"/>
                <w:szCs w:val="21"/>
              </w:rPr>
            </w:pPr>
            <w:bookmarkStart w:id="104" w:name="_Toc16070"/>
            <w:r>
              <w:rPr>
                <w:rFonts w:hint="eastAsia" w:ascii="仿宋_GB2312" w:eastAsia="仿宋_GB2312"/>
                <w:szCs w:val="21"/>
              </w:rPr>
              <w:t>嘉鱼县</w:t>
            </w:r>
            <w:bookmarkEnd w:id="104"/>
          </w:p>
        </w:tc>
        <w:tc>
          <w:tcPr>
            <w:tcW w:w="1751" w:type="pct"/>
            <w:vAlign w:val="center"/>
          </w:tcPr>
          <w:p>
            <w:pPr>
              <w:tabs>
                <w:tab w:val="left" w:pos="855"/>
                <w:tab w:val="left" w:pos="1440"/>
              </w:tabs>
              <w:spacing w:line="400" w:lineRule="exact"/>
              <w:jc w:val="center"/>
              <w:rPr>
                <w:rFonts w:ascii="仿宋_GB2312" w:eastAsia="仿宋_GB2312"/>
                <w:szCs w:val="21"/>
              </w:rPr>
            </w:pPr>
            <w:bookmarkStart w:id="105" w:name="_Toc8667"/>
            <w:r>
              <w:rPr>
                <w:rFonts w:hint="eastAsia" w:ascii="仿宋_GB2312" w:eastAsia="仿宋_GB2312"/>
                <w:szCs w:val="21"/>
              </w:rPr>
              <w:t>鱼岳镇</w:t>
            </w:r>
            <w:bookmarkEnd w:id="105"/>
          </w:p>
        </w:tc>
        <w:tc>
          <w:tcPr>
            <w:tcW w:w="1132" w:type="pct"/>
            <w:vAlign w:val="center"/>
          </w:tcPr>
          <w:p>
            <w:pPr>
              <w:tabs>
                <w:tab w:val="left" w:pos="855"/>
                <w:tab w:val="left" w:pos="1440"/>
              </w:tabs>
              <w:spacing w:line="400" w:lineRule="exact"/>
              <w:jc w:val="center"/>
              <w:rPr>
                <w:rFonts w:ascii="仿宋_GB2312" w:eastAsia="仿宋_GB2312"/>
                <w:szCs w:val="21"/>
              </w:rPr>
            </w:pPr>
            <w:bookmarkStart w:id="106" w:name="_Toc28831"/>
            <w:r>
              <w:rPr>
                <w:rFonts w:hint="eastAsia" w:ascii="仿宋_GB2312" w:eastAsia="仿宋_GB2312"/>
                <w:szCs w:val="21"/>
              </w:rPr>
              <w:t>十井铺村</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6" w:type="pct"/>
            <w:vAlign w:val="center"/>
          </w:tcPr>
          <w:p>
            <w:pPr>
              <w:tabs>
                <w:tab w:val="left" w:pos="855"/>
                <w:tab w:val="left" w:pos="1440"/>
              </w:tabs>
              <w:spacing w:line="400" w:lineRule="exact"/>
              <w:jc w:val="center"/>
              <w:rPr>
                <w:rFonts w:ascii="仿宋_GB2312" w:eastAsia="仿宋_GB2312"/>
                <w:szCs w:val="21"/>
              </w:rPr>
            </w:pPr>
            <w:bookmarkStart w:id="107" w:name="_Toc32699"/>
            <w:r>
              <w:rPr>
                <w:rFonts w:ascii="仿宋_GB2312" w:eastAsia="仿宋_GB2312"/>
                <w:szCs w:val="21"/>
              </w:rPr>
              <w:t>3</w:t>
            </w:r>
            <w:bookmarkEnd w:id="107"/>
          </w:p>
        </w:tc>
        <w:tc>
          <w:tcPr>
            <w:tcW w:w="1058" w:type="pct"/>
            <w:vAlign w:val="center"/>
          </w:tcPr>
          <w:p>
            <w:pPr>
              <w:tabs>
                <w:tab w:val="left" w:pos="855"/>
                <w:tab w:val="left" w:pos="1440"/>
              </w:tabs>
              <w:spacing w:line="400" w:lineRule="exact"/>
              <w:jc w:val="center"/>
              <w:rPr>
                <w:rFonts w:ascii="仿宋_GB2312" w:eastAsia="仿宋_GB2312"/>
                <w:szCs w:val="21"/>
              </w:rPr>
            </w:pPr>
            <w:bookmarkStart w:id="108" w:name="_Toc30170"/>
            <w:r>
              <w:rPr>
                <w:rFonts w:hint="eastAsia" w:ascii="仿宋_GB2312" w:eastAsia="仿宋_GB2312"/>
                <w:szCs w:val="21"/>
              </w:rPr>
              <w:t>赤壁市</w:t>
            </w:r>
            <w:bookmarkEnd w:id="108"/>
          </w:p>
        </w:tc>
        <w:tc>
          <w:tcPr>
            <w:tcW w:w="1751" w:type="pct"/>
            <w:vAlign w:val="center"/>
          </w:tcPr>
          <w:p>
            <w:pPr>
              <w:tabs>
                <w:tab w:val="left" w:pos="855"/>
                <w:tab w:val="left" w:pos="1440"/>
              </w:tabs>
              <w:spacing w:line="400" w:lineRule="exact"/>
              <w:jc w:val="center"/>
              <w:rPr>
                <w:rFonts w:ascii="仿宋_GB2312" w:eastAsia="仿宋_GB2312"/>
                <w:szCs w:val="21"/>
              </w:rPr>
            </w:pPr>
            <w:bookmarkStart w:id="109" w:name="_Toc10260"/>
            <w:r>
              <w:rPr>
                <w:rFonts w:hint="eastAsia" w:ascii="仿宋_GB2312" w:eastAsia="仿宋_GB2312"/>
                <w:szCs w:val="21"/>
              </w:rPr>
              <w:t>赤马港街道办事处</w:t>
            </w:r>
            <w:bookmarkEnd w:id="109"/>
          </w:p>
        </w:tc>
        <w:tc>
          <w:tcPr>
            <w:tcW w:w="1132" w:type="pct"/>
            <w:vAlign w:val="center"/>
          </w:tcPr>
          <w:p>
            <w:pPr>
              <w:tabs>
                <w:tab w:val="left" w:pos="855"/>
                <w:tab w:val="left" w:pos="1440"/>
              </w:tabs>
              <w:spacing w:line="400" w:lineRule="exact"/>
              <w:jc w:val="center"/>
              <w:rPr>
                <w:rFonts w:ascii="仿宋_GB2312" w:eastAsia="仿宋_GB2312"/>
                <w:szCs w:val="21"/>
              </w:rPr>
            </w:pPr>
            <w:bookmarkStart w:id="110" w:name="_Toc5843"/>
            <w:r>
              <w:rPr>
                <w:rFonts w:hint="eastAsia" w:ascii="仿宋_GB2312" w:eastAsia="仿宋_GB2312"/>
                <w:szCs w:val="21"/>
              </w:rPr>
              <w:t>四清村</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pct"/>
            <w:vAlign w:val="center"/>
          </w:tcPr>
          <w:p>
            <w:pPr>
              <w:tabs>
                <w:tab w:val="left" w:pos="855"/>
                <w:tab w:val="left" w:pos="1440"/>
              </w:tabs>
              <w:spacing w:line="400" w:lineRule="exact"/>
              <w:jc w:val="center"/>
              <w:rPr>
                <w:rFonts w:ascii="仿宋_GB2312" w:eastAsia="仿宋_GB2312"/>
                <w:szCs w:val="21"/>
              </w:rPr>
            </w:pPr>
            <w:bookmarkStart w:id="111" w:name="_Toc12485"/>
            <w:r>
              <w:rPr>
                <w:rFonts w:ascii="仿宋_GB2312" w:eastAsia="仿宋_GB2312"/>
                <w:szCs w:val="21"/>
              </w:rPr>
              <w:t>4</w:t>
            </w:r>
            <w:bookmarkEnd w:id="111"/>
          </w:p>
        </w:tc>
        <w:tc>
          <w:tcPr>
            <w:tcW w:w="1058" w:type="pct"/>
            <w:vAlign w:val="center"/>
          </w:tcPr>
          <w:p>
            <w:pPr>
              <w:tabs>
                <w:tab w:val="left" w:pos="855"/>
                <w:tab w:val="left" w:pos="1440"/>
              </w:tabs>
              <w:spacing w:line="400" w:lineRule="exact"/>
              <w:jc w:val="center"/>
              <w:rPr>
                <w:rFonts w:ascii="仿宋_GB2312" w:eastAsia="仿宋_GB2312"/>
                <w:szCs w:val="21"/>
              </w:rPr>
            </w:pPr>
            <w:bookmarkStart w:id="112" w:name="_Toc3344"/>
            <w:r>
              <w:rPr>
                <w:rFonts w:hint="eastAsia" w:ascii="仿宋_GB2312" w:eastAsia="仿宋_GB2312"/>
                <w:szCs w:val="21"/>
              </w:rPr>
              <w:t>通城县</w:t>
            </w:r>
            <w:bookmarkEnd w:id="112"/>
          </w:p>
        </w:tc>
        <w:tc>
          <w:tcPr>
            <w:tcW w:w="1751" w:type="pct"/>
            <w:vAlign w:val="center"/>
          </w:tcPr>
          <w:p>
            <w:pPr>
              <w:tabs>
                <w:tab w:val="left" w:pos="855"/>
                <w:tab w:val="left" w:pos="1440"/>
              </w:tabs>
              <w:spacing w:line="400" w:lineRule="exact"/>
              <w:jc w:val="center"/>
              <w:rPr>
                <w:rFonts w:ascii="仿宋_GB2312" w:eastAsia="仿宋_GB2312"/>
                <w:szCs w:val="21"/>
              </w:rPr>
            </w:pPr>
            <w:bookmarkStart w:id="113" w:name="_Toc9146"/>
            <w:r>
              <w:rPr>
                <w:rFonts w:hint="eastAsia" w:ascii="仿宋_GB2312" w:eastAsia="仿宋_GB2312"/>
                <w:szCs w:val="21"/>
              </w:rPr>
              <w:t>麦市镇</w:t>
            </w:r>
            <w:bookmarkEnd w:id="113"/>
          </w:p>
        </w:tc>
        <w:tc>
          <w:tcPr>
            <w:tcW w:w="1132" w:type="pct"/>
            <w:vAlign w:val="center"/>
          </w:tcPr>
          <w:p>
            <w:pPr>
              <w:tabs>
                <w:tab w:val="left" w:pos="855"/>
                <w:tab w:val="left" w:pos="1440"/>
              </w:tabs>
              <w:spacing w:line="400" w:lineRule="exact"/>
              <w:jc w:val="center"/>
              <w:rPr>
                <w:rFonts w:ascii="仿宋_GB2312" w:eastAsia="仿宋_GB2312"/>
                <w:szCs w:val="21"/>
              </w:rPr>
            </w:pPr>
            <w:bookmarkStart w:id="114" w:name="_Toc8012"/>
            <w:r>
              <w:rPr>
                <w:rFonts w:hint="eastAsia" w:ascii="仿宋_GB2312" w:eastAsia="仿宋_GB2312"/>
                <w:szCs w:val="21"/>
              </w:rPr>
              <w:t>天门村</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pct"/>
            <w:vAlign w:val="center"/>
          </w:tcPr>
          <w:p>
            <w:pPr>
              <w:tabs>
                <w:tab w:val="left" w:pos="855"/>
                <w:tab w:val="left" w:pos="1440"/>
              </w:tabs>
              <w:spacing w:line="400" w:lineRule="exact"/>
              <w:jc w:val="center"/>
              <w:rPr>
                <w:rFonts w:ascii="仿宋_GB2312" w:eastAsia="仿宋_GB2312"/>
                <w:szCs w:val="21"/>
              </w:rPr>
            </w:pPr>
            <w:bookmarkStart w:id="115" w:name="_Toc26456"/>
            <w:r>
              <w:rPr>
                <w:rFonts w:ascii="仿宋_GB2312" w:eastAsia="仿宋_GB2312"/>
                <w:szCs w:val="21"/>
              </w:rPr>
              <w:t>5</w:t>
            </w:r>
            <w:bookmarkEnd w:id="115"/>
          </w:p>
        </w:tc>
        <w:tc>
          <w:tcPr>
            <w:tcW w:w="1058" w:type="pct"/>
            <w:vAlign w:val="center"/>
          </w:tcPr>
          <w:p>
            <w:pPr>
              <w:tabs>
                <w:tab w:val="left" w:pos="855"/>
                <w:tab w:val="left" w:pos="1440"/>
              </w:tabs>
              <w:spacing w:line="400" w:lineRule="exact"/>
              <w:jc w:val="center"/>
              <w:rPr>
                <w:rFonts w:ascii="仿宋_GB2312" w:eastAsia="仿宋_GB2312"/>
                <w:szCs w:val="21"/>
              </w:rPr>
            </w:pPr>
            <w:bookmarkStart w:id="116" w:name="_Toc12959"/>
            <w:r>
              <w:rPr>
                <w:rFonts w:hint="eastAsia" w:ascii="仿宋_GB2312" w:eastAsia="仿宋_GB2312"/>
                <w:szCs w:val="21"/>
              </w:rPr>
              <w:t>崇阳县</w:t>
            </w:r>
            <w:bookmarkEnd w:id="116"/>
          </w:p>
        </w:tc>
        <w:tc>
          <w:tcPr>
            <w:tcW w:w="1751" w:type="pct"/>
            <w:vAlign w:val="center"/>
          </w:tcPr>
          <w:p>
            <w:pPr>
              <w:tabs>
                <w:tab w:val="left" w:pos="855"/>
                <w:tab w:val="left" w:pos="1440"/>
              </w:tabs>
              <w:spacing w:line="400" w:lineRule="exact"/>
              <w:jc w:val="center"/>
              <w:rPr>
                <w:rFonts w:ascii="仿宋_GB2312" w:eastAsia="仿宋_GB2312"/>
                <w:szCs w:val="21"/>
              </w:rPr>
            </w:pPr>
            <w:bookmarkStart w:id="117" w:name="_Toc11125"/>
            <w:r>
              <w:rPr>
                <w:rFonts w:hint="eastAsia" w:ascii="仿宋_GB2312" w:eastAsia="仿宋_GB2312"/>
                <w:szCs w:val="21"/>
              </w:rPr>
              <w:t>白霓镇</w:t>
            </w:r>
            <w:bookmarkEnd w:id="117"/>
          </w:p>
        </w:tc>
        <w:tc>
          <w:tcPr>
            <w:tcW w:w="1132" w:type="pct"/>
            <w:vAlign w:val="center"/>
          </w:tcPr>
          <w:p>
            <w:pPr>
              <w:tabs>
                <w:tab w:val="left" w:pos="855"/>
                <w:tab w:val="left" w:pos="1440"/>
              </w:tabs>
              <w:spacing w:line="400" w:lineRule="exact"/>
              <w:jc w:val="center"/>
              <w:rPr>
                <w:rFonts w:ascii="仿宋_GB2312" w:eastAsia="仿宋_GB2312"/>
                <w:szCs w:val="21"/>
              </w:rPr>
            </w:pPr>
            <w:bookmarkStart w:id="118" w:name="_Toc8738"/>
            <w:r>
              <w:rPr>
                <w:rFonts w:hint="eastAsia" w:ascii="仿宋_GB2312" w:eastAsia="仿宋_GB2312"/>
                <w:szCs w:val="21"/>
              </w:rPr>
              <w:t>浪口村</w:t>
            </w:r>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pct"/>
            <w:vAlign w:val="center"/>
          </w:tcPr>
          <w:p>
            <w:pPr>
              <w:tabs>
                <w:tab w:val="left" w:pos="855"/>
                <w:tab w:val="left" w:pos="1440"/>
              </w:tabs>
              <w:spacing w:line="400" w:lineRule="exact"/>
              <w:jc w:val="center"/>
              <w:rPr>
                <w:rFonts w:ascii="仿宋_GB2312" w:eastAsia="仿宋_GB2312"/>
                <w:szCs w:val="21"/>
              </w:rPr>
            </w:pPr>
            <w:bookmarkStart w:id="119" w:name="_Toc1786"/>
            <w:r>
              <w:rPr>
                <w:rFonts w:ascii="仿宋_GB2312" w:eastAsia="仿宋_GB2312"/>
                <w:szCs w:val="21"/>
              </w:rPr>
              <w:t>6</w:t>
            </w:r>
            <w:bookmarkEnd w:id="119"/>
          </w:p>
        </w:tc>
        <w:tc>
          <w:tcPr>
            <w:tcW w:w="1058" w:type="pct"/>
            <w:vAlign w:val="center"/>
          </w:tcPr>
          <w:p>
            <w:pPr>
              <w:tabs>
                <w:tab w:val="left" w:pos="855"/>
                <w:tab w:val="left" w:pos="1440"/>
              </w:tabs>
              <w:spacing w:line="400" w:lineRule="exact"/>
              <w:jc w:val="center"/>
              <w:rPr>
                <w:rFonts w:ascii="仿宋_GB2312" w:eastAsia="仿宋_GB2312" w:cs="宋体"/>
                <w:szCs w:val="21"/>
              </w:rPr>
            </w:pPr>
            <w:bookmarkStart w:id="120" w:name="_Toc30853"/>
            <w:r>
              <w:rPr>
                <w:rFonts w:hint="eastAsia" w:ascii="仿宋_GB2312" w:eastAsia="仿宋_GB2312" w:cs="宋体"/>
                <w:szCs w:val="21"/>
              </w:rPr>
              <w:t>通山县</w:t>
            </w:r>
            <w:bookmarkEnd w:id="120"/>
          </w:p>
        </w:tc>
        <w:tc>
          <w:tcPr>
            <w:tcW w:w="1751" w:type="pct"/>
            <w:vAlign w:val="center"/>
          </w:tcPr>
          <w:p>
            <w:pPr>
              <w:tabs>
                <w:tab w:val="left" w:pos="855"/>
                <w:tab w:val="left" w:pos="1440"/>
              </w:tabs>
              <w:spacing w:line="400" w:lineRule="exact"/>
              <w:jc w:val="center"/>
              <w:rPr>
                <w:rFonts w:ascii="仿宋_GB2312" w:eastAsia="仿宋_GB2312" w:cs="宋体"/>
                <w:szCs w:val="21"/>
              </w:rPr>
            </w:pPr>
            <w:bookmarkStart w:id="121" w:name="_Toc5019"/>
            <w:r>
              <w:rPr>
                <w:rFonts w:hint="eastAsia" w:ascii="仿宋_GB2312" w:eastAsia="仿宋_GB2312" w:cs="宋体"/>
                <w:szCs w:val="21"/>
              </w:rPr>
              <w:t>九宫山镇</w:t>
            </w:r>
            <w:bookmarkEnd w:id="121"/>
          </w:p>
        </w:tc>
        <w:tc>
          <w:tcPr>
            <w:tcW w:w="1132" w:type="pct"/>
            <w:vAlign w:val="center"/>
          </w:tcPr>
          <w:p>
            <w:pPr>
              <w:tabs>
                <w:tab w:val="left" w:pos="855"/>
                <w:tab w:val="left" w:pos="1440"/>
              </w:tabs>
              <w:spacing w:line="400" w:lineRule="exact"/>
              <w:jc w:val="center"/>
              <w:rPr>
                <w:rFonts w:ascii="仿宋_GB2312" w:eastAsia="仿宋_GB2312" w:cs="宋体"/>
                <w:szCs w:val="21"/>
              </w:rPr>
            </w:pPr>
            <w:bookmarkStart w:id="122" w:name="_Toc17256"/>
            <w:r>
              <w:rPr>
                <w:rFonts w:hint="eastAsia" w:ascii="仿宋_GB2312" w:eastAsia="仿宋_GB2312" w:cs="宋体"/>
                <w:szCs w:val="21"/>
              </w:rPr>
              <w:t>李家铺村</w:t>
            </w:r>
            <w:bookmarkEnd w:id="122"/>
          </w:p>
        </w:tc>
      </w:tr>
    </w:tbl>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sz w:val="28"/>
          <w:szCs w:val="28"/>
        </w:rPr>
        <w:t>监测项目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（1）环境空气质量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二氧化硫（SO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）、二氧化氮（NO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）、可吸入颗粒物（PM</w:t>
      </w:r>
      <w:r>
        <w:rPr>
          <w:rFonts w:hint="eastAsia" w:ascii="仿宋_GB2312" w:hAnsi="仿宋_GB2312" w:eastAsia="仿宋_GB2312" w:cs="仿宋_GB2312"/>
          <w:sz w:val="28"/>
          <w:szCs w:val="28"/>
          <w:vertAlign w:val="subscript"/>
        </w:rPr>
        <w:t>10</w:t>
      </w:r>
      <w:r>
        <w:rPr>
          <w:rFonts w:hint="eastAsia" w:ascii="仿宋_GB2312" w:hAnsi="仿宋_GB2312" w:eastAsia="仿宋_GB2312" w:cs="仿宋_GB2312"/>
          <w:sz w:val="28"/>
          <w:szCs w:val="28"/>
        </w:rPr>
        <w:t>）、细颗粒物（PM</w:t>
      </w:r>
      <w:r>
        <w:rPr>
          <w:rFonts w:hint="eastAsia" w:ascii="仿宋_GB2312" w:hAnsi="仿宋_GB2312" w:eastAsia="仿宋_GB2312" w:cs="仿宋_GB2312"/>
          <w:sz w:val="28"/>
          <w:szCs w:val="28"/>
          <w:vertAlign w:val="subscript"/>
        </w:rPr>
        <w:t>2.5</w:t>
      </w:r>
      <w:r>
        <w:rPr>
          <w:rFonts w:hint="eastAsia" w:ascii="仿宋_GB2312" w:hAnsi="仿宋_GB2312" w:eastAsia="仿宋_GB2312" w:cs="仿宋_GB2312"/>
          <w:sz w:val="28"/>
          <w:szCs w:val="28"/>
        </w:rPr>
        <w:t>）、一氧化碳（CO）、臭氧（O</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（2）地表水质量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县域出、入境和湖库监测断面监测《地表水环境质量标准》（GB 3838—2002）表1中基本项目（共24项）。有条件的地区加测流量和硝酸盐（以N计）2项指标，按照采测分离方式开展监测的监测断面可不报送粪大肠菌群。</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农业面源污染控制断面监测流量、总氮、总磷、氨氮、硝酸盐（以N计）、高锰酸盐指数、化学需氧量7项指标。在县域内重点区域设置2—3个农业面源污染控制断面：</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①在县域内最大的农作物种植区受纳水体下游500m处设置1个种植业流失控制断面，如有大型灌区，优先在灌区的农田退水口下游500m处设置断面。粮食大县和蔬菜大县应至少设置1个种植业流失控制断面。</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②在县域内最大的畜禽或水产养殖集聚区、或最大的规模化畜禽或水产养殖场受纳水体下游500m处设置1个养殖业污染控制断面。畜牧大县应至少设置1个养殖业污染控制断面。</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③在监控村庄所在的农村生活集聚区受纳水体下游500m处设置1个农村生活污染控制断面。每个县均应设置1个农村生活污染控制断面。</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④若上述农业面源所在受纳水体下游不足500m处即汇入下一级河流，则在汇入下级河流之前设置相应的农业面源污染监测断面。</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⑤无明显地表径流的地区，可在种植业、养殖业和农村生活集聚区等农业面源重点区域的地下水井布设监测点位。</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（3）土壤环境质量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必测项目：pH、阳离子交换量；镉、汞、砷、铅、铬、铜、镍、锌等元素的全量。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选测项目：基本农田根据当地实际情况监测特征有机污染物。工业型村庄根据具体情况，增加特征污染物项目的监测。</w:t>
      </w:r>
    </w:p>
    <w:p>
      <w:pPr>
        <w:numPr>
          <w:ilvl w:val="0"/>
          <w:numId w:val="3"/>
        </w:num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生态质量状况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乡村生态系统监测明确任务后另行下发方案。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3.监测频次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环境空气质量采用人工监测的方式每季度监测1次、全年4次，采用自动监测方式的报送每天的日均值；地表水水质每季度监测1次、全年4次；土壤环境质量每5年监测1次，2021年已开展监测的不再进行监测。</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4.数据报送及其他</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市生态环境局生态科负责组织各分局开展相关监测工作，各分局每季度按照国家总站要求及时在全国</w:t>
      </w:r>
      <w:r>
        <w:rPr>
          <w:rFonts w:hint="eastAsia" w:ascii="仿宋_GB2312" w:hAnsi="仿宋_GB2312" w:eastAsia="仿宋_GB2312" w:cs="仿宋_GB2312"/>
          <w:sz w:val="28"/>
          <w:szCs w:val="28"/>
        </w:rPr>
        <w:t>生态农村监测业务系统</w:t>
      </w:r>
      <w:r>
        <w:rPr>
          <w:rFonts w:hint="eastAsia" w:ascii="仿宋_GB2312" w:hAnsi="仿宋_GB2312" w:eastAsia="仿宋_GB2312" w:cs="仿宋_GB2312"/>
          <w:color w:val="000000"/>
          <w:sz w:val="28"/>
          <w:szCs w:val="28"/>
        </w:rPr>
        <w:t>内报送村庄环境空气质量以及地表水水质监测数据，数据由市生态环境局生态科负责审核；11月15日前，报送村庄土壤环境质量监测数据；</w:t>
      </w:r>
      <w:r>
        <w:rPr>
          <w:rFonts w:hint="eastAsia" w:ascii="仿宋_GB2312" w:hAnsi="仿宋_GB2312" w:eastAsia="仿宋_GB2312" w:cs="仿宋_GB2312"/>
          <w:color w:val="000000"/>
          <w:spacing w:val="4"/>
          <w:sz w:val="28"/>
          <w:szCs w:val="28"/>
        </w:rPr>
        <w:t>11月30日前，报送全市农村环境质量年度监测报告。各地重点监控村庄涉及的地表水、土壤和环境空气点位、监测指标及其余要求按照《</w:t>
      </w:r>
      <w:r>
        <w:rPr>
          <w:rFonts w:hint="eastAsia" w:ascii="仿宋_GB2312" w:hAnsi="仿宋_GB2312" w:eastAsia="仿宋_GB2312" w:cs="仿宋_GB2312"/>
          <w:sz w:val="28"/>
          <w:szCs w:val="28"/>
        </w:rPr>
        <w:t>2021年全省农村环境质量监测方案</w:t>
      </w:r>
      <w:r>
        <w:rPr>
          <w:rFonts w:hint="eastAsia" w:ascii="仿宋_GB2312" w:hAnsi="仿宋_GB2312" w:eastAsia="仿宋_GB2312" w:cs="仿宋_GB2312"/>
          <w:color w:val="000000"/>
          <w:spacing w:val="4"/>
          <w:sz w:val="28"/>
          <w:szCs w:val="28"/>
        </w:rPr>
        <w:t>》执行。</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5.质量保证与质量控制</w:t>
      </w:r>
    </w:p>
    <w:p>
      <w:pPr>
        <w:spacing w:line="560" w:lineRule="exact"/>
        <w:ind w:firstLine="560" w:firstLineChars="200"/>
        <w:rPr>
          <w:rFonts w:ascii="Times New Roman" w:hAnsi="Times New Roman" w:eastAsia="仿宋_GB2312" w:cs="Times New Roman"/>
          <w:color w:val="000000"/>
          <w:sz w:val="28"/>
          <w:szCs w:val="28"/>
        </w:rPr>
      </w:pPr>
      <w:r>
        <w:rPr>
          <w:rFonts w:hint="eastAsia" w:ascii="仿宋_GB2312" w:hAnsi="仿宋_GB2312" w:eastAsia="仿宋_GB2312" w:cs="仿宋_GB2312"/>
          <w:color w:val="000000"/>
          <w:sz w:val="28"/>
          <w:szCs w:val="28"/>
        </w:rPr>
        <w:t>执行《全国农村环境质量试点监测技术方案》（环发〔2014〕125号）文件有关要求。</w:t>
      </w:r>
    </w:p>
    <w:p>
      <w:pPr>
        <w:pStyle w:val="4"/>
        <w:ind w:firstLine="600"/>
        <w:rPr>
          <w:rFonts w:ascii="Times New Roman" w:hAnsi="Times New Roman" w:cs="Times New Roman"/>
          <w:color w:val="000000"/>
          <w:kern w:val="0"/>
          <w:sz w:val="30"/>
          <w:szCs w:val="30"/>
        </w:rPr>
      </w:pPr>
      <w:bookmarkStart w:id="123" w:name="_Toc62822072"/>
      <w:bookmarkStart w:id="124" w:name="_Toc65"/>
      <w:r>
        <w:rPr>
          <w:rFonts w:hint="eastAsia"/>
          <w:sz w:val="30"/>
          <w:szCs w:val="30"/>
        </w:rPr>
        <w:t>（十</w:t>
      </w:r>
      <w:r>
        <w:rPr>
          <w:rFonts w:hint="eastAsia"/>
          <w:sz w:val="30"/>
          <w:szCs w:val="30"/>
          <w:lang w:eastAsia="zh-CN"/>
        </w:rPr>
        <w:t>七</w:t>
      </w:r>
      <w:r>
        <w:rPr>
          <w:rFonts w:hint="eastAsia"/>
          <w:sz w:val="30"/>
          <w:szCs w:val="30"/>
        </w:rPr>
        <w:t>）农田灌溉水质监测</w:t>
      </w:r>
      <w:bookmarkEnd w:id="123"/>
      <w:bookmarkEnd w:id="124"/>
    </w:p>
    <w:p>
      <w:pPr>
        <w:spacing w:line="560" w:lineRule="exact"/>
        <w:ind w:firstLine="560" w:firstLineChars="200"/>
        <w:rPr>
          <w:rFonts w:ascii="楷体_GB2312" w:hAnsi="楷体_GB2312" w:eastAsia="楷体_GB2312" w:cs="楷体_GB2312"/>
          <w:color w:val="000000"/>
          <w:sz w:val="28"/>
          <w:szCs w:val="28"/>
        </w:rPr>
      </w:pPr>
      <w:r>
        <w:rPr>
          <w:rFonts w:hint="eastAsia" w:ascii="仿宋_GB2312" w:hAnsi="仿宋_GB2312" w:eastAsia="仿宋_GB2312" w:cs="仿宋_GB2312"/>
          <w:color w:val="000000"/>
          <w:sz w:val="28"/>
          <w:szCs w:val="28"/>
        </w:rPr>
        <w:t>1.监测范围</w:t>
      </w:r>
    </w:p>
    <w:p>
      <w:pPr>
        <w:spacing w:line="560" w:lineRule="exact"/>
        <w:ind w:firstLine="480" w:firstLineChars="200"/>
        <w:jc w:val="center"/>
        <w:rPr>
          <w:rFonts w:ascii="黑体" w:hAnsi="黑体" w:eastAsia="黑体" w:cs="黑体"/>
          <w:color w:val="000000"/>
          <w:sz w:val="24"/>
          <w:szCs w:val="24"/>
        </w:rPr>
      </w:pPr>
    </w:p>
    <w:p>
      <w:pPr>
        <w:spacing w:line="560" w:lineRule="exact"/>
        <w:ind w:firstLine="480" w:firstLineChars="200"/>
        <w:jc w:val="center"/>
        <w:rPr>
          <w:rFonts w:ascii="黑体" w:hAnsi="黑体" w:eastAsia="黑体" w:cs="黑体"/>
          <w:color w:val="000000"/>
          <w:sz w:val="24"/>
          <w:szCs w:val="24"/>
        </w:rPr>
      </w:pPr>
      <w:r>
        <w:rPr>
          <w:rFonts w:hint="eastAsia" w:ascii="黑体" w:hAnsi="黑体" w:eastAsia="黑体" w:cs="黑体"/>
          <w:color w:val="000000"/>
          <w:sz w:val="24"/>
          <w:szCs w:val="24"/>
        </w:rPr>
        <w:t>表1</w:t>
      </w:r>
      <w:r>
        <w:rPr>
          <w:rFonts w:hint="eastAsia" w:ascii="黑体" w:hAnsi="黑体" w:eastAsia="黑体" w:cs="黑体"/>
          <w:color w:val="000000"/>
          <w:sz w:val="24"/>
          <w:szCs w:val="24"/>
          <w:lang w:val="en-US" w:eastAsia="zh-CN"/>
        </w:rPr>
        <w:t>4</w:t>
      </w:r>
      <w:r>
        <w:rPr>
          <w:rFonts w:hint="eastAsia" w:ascii="黑体" w:hAnsi="黑体" w:eastAsia="黑体" w:cs="黑体"/>
          <w:color w:val="000000"/>
          <w:sz w:val="24"/>
          <w:szCs w:val="24"/>
        </w:rPr>
        <w:t xml:space="preserve"> 咸宁市农田灌溉水质监测名单</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168"/>
        <w:gridCol w:w="2345"/>
        <w:gridCol w:w="262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492"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125" w:name="_Toc13948"/>
            <w:r>
              <w:rPr>
                <w:rFonts w:hint="eastAsia" w:ascii="仿宋_GB2312" w:hAnsi="仿宋_GB2312" w:eastAsia="仿宋_GB2312" w:cs="仿宋_GB2312"/>
                <w:b/>
                <w:bCs/>
                <w:szCs w:val="21"/>
              </w:rPr>
              <w:t>序号</w:t>
            </w:r>
            <w:bookmarkEnd w:id="125"/>
          </w:p>
        </w:tc>
        <w:tc>
          <w:tcPr>
            <w:tcW w:w="661"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126" w:name="_Toc6224"/>
            <w:r>
              <w:rPr>
                <w:rFonts w:hint="eastAsia" w:ascii="仿宋_GB2312" w:hAnsi="仿宋_GB2312" w:eastAsia="仿宋_GB2312" w:cs="仿宋_GB2312"/>
                <w:b/>
                <w:bCs/>
                <w:szCs w:val="21"/>
              </w:rPr>
              <w:t>县市区</w:t>
            </w:r>
            <w:bookmarkEnd w:id="126"/>
          </w:p>
        </w:tc>
        <w:tc>
          <w:tcPr>
            <w:tcW w:w="1327"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127" w:name="_Toc17594"/>
            <w:r>
              <w:rPr>
                <w:rFonts w:hint="eastAsia" w:ascii="仿宋_GB2312" w:hAnsi="仿宋_GB2312" w:eastAsia="仿宋_GB2312" w:cs="仿宋_GB2312"/>
                <w:b/>
                <w:bCs/>
                <w:szCs w:val="21"/>
              </w:rPr>
              <w:t>乡 镇</w:t>
            </w:r>
            <w:bookmarkEnd w:id="127"/>
          </w:p>
        </w:tc>
        <w:tc>
          <w:tcPr>
            <w:tcW w:w="1483"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128" w:name="_Toc27708"/>
            <w:r>
              <w:rPr>
                <w:rFonts w:hint="eastAsia" w:ascii="仿宋_GB2312" w:hAnsi="仿宋_GB2312" w:eastAsia="仿宋_GB2312" w:cs="仿宋_GB2312"/>
                <w:b/>
                <w:bCs/>
                <w:szCs w:val="21"/>
              </w:rPr>
              <w:t>村庄</w:t>
            </w:r>
            <w:bookmarkEnd w:id="128"/>
          </w:p>
        </w:tc>
        <w:tc>
          <w:tcPr>
            <w:tcW w:w="1034"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129" w:name="_Toc18474"/>
            <w:r>
              <w:rPr>
                <w:rFonts w:hint="eastAsia" w:ascii="仿宋_GB2312" w:hAnsi="仿宋_GB2312" w:eastAsia="仿宋_GB2312" w:cs="仿宋_GB2312"/>
                <w:b/>
                <w:bCs/>
                <w:szCs w:val="21"/>
              </w:rPr>
              <w:t>灌区名称</w:t>
            </w:r>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pPr>
              <w:tabs>
                <w:tab w:val="left" w:pos="855"/>
                <w:tab w:val="left" w:pos="1440"/>
              </w:tabs>
              <w:spacing w:line="400" w:lineRule="exact"/>
              <w:jc w:val="center"/>
              <w:rPr>
                <w:rFonts w:ascii="仿宋_GB2312" w:eastAsia="仿宋_GB2312"/>
                <w:szCs w:val="21"/>
              </w:rPr>
            </w:pPr>
            <w:bookmarkStart w:id="130" w:name="_Toc29426"/>
            <w:r>
              <w:rPr>
                <w:rFonts w:ascii="仿宋_GB2312" w:eastAsia="仿宋_GB2312"/>
                <w:szCs w:val="21"/>
              </w:rPr>
              <w:t>1</w:t>
            </w:r>
            <w:bookmarkEnd w:id="130"/>
          </w:p>
        </w:tc>
        <w:tc>
          <w:tcPr>
            <w:tcW w:w="661" w:type="pct"/>
            <w:vAlign w:val="center"/>
          </w:tcPr>
          <w:p>
            <w:pPr>
              <w:spacing w:line="400" w:lineRule="exact"/>
              <w:jc w:val="center"/>
              <w:rPr>
                <w:rFonts w:ascii="仿宋_GB2312" w:eastAsia="仿宋_GB2312"/>
                <w:szCs w:val="21"/>
              </w:rPr>
            </w:pPr>
            <w:r>
              <w:rPr>
                <w:rFonts w:hint="eastAsia" w:ascii="仿宋_GB2312" w:eastAsia="仿宋_GB2312"/>
                <w:szCs w:val="21"/>
              </w:rPr>
              <w:t>咸安区</w:t>
            </w:r>
          </w:p>
        </w:tc>
        <w:tc>
          <w:tcPr>
            <w:tcW w:w="1327" w:type="pct"/>
            <w:vAlign w:val="center"/>
          </w:tcPr>
          <w:p>
            <w:pPr>
              <w:spacing w:line="400" w:lineRule="exact"/>
              <w:jc w:val="center"/>
              <w:rPr>
                <w:rFonts w:ascii="仿宋_GB2312" w:eastAsia="仿宋_GB2312"/>
                <w:szCs w:val="21"/>
              </w:rPr>
            </w:pPr>
            <w:r>
              <w:rPr>
                <w:rFonts w:hint="eastAsia" w:ascii="仿宋_GB2312" w:eastAsia="仿宋_GB2312"/>
                <w:szCs w:val="21"/>
              </w:rPr>
              <w:t>桂花镇</w:t>
            </w:r>
          </w:p>
        </w:tc>
        <w:tc>
          <w:tcPr>
            <w:tcW w:w="1483" w:type="pct"/>
            <w:vAlign w:val="center"/>
          </w:tcPr>
          <w:p>
            <w:pPr>
              <w:spacing w:line="400" w:lineRule="exact"/>
              <w:jc w:val="center"/>
              <w:rPr>
                <w:rFonts w:ascii="仿宋_GB2312" w:eastAsia="仿宋_GB2312"/>
                <w:szCs w:val="21"/>
              </w:rPr>
            </w:pPr>
            <w:r>
              <w:rPr>
                <w:rFonts w:hint="eastAsia" w:ascii="仿宋_GB2312" w:eastAsia="仿宋_GB2312"/>
                <w:szCs w:val="21"/>
              </w:rPr>
              <w:t>南川村</w:t>
            </w:r>
          </w:p>
        </w:tc>
        <w:tc>
          <w:tcPr>
            <w:tcW w:w="1034" w:type="pct"/>
            <w:vAlign w:val="center"/>
          </w:tcPr>
          <w:p>
            <w:pPr>
              <w:spacing w:line="400" w:lineRule="exact"/>
              <w:jc w:val="center"/>
              <w:rPr>
                <w:rFonts w:ascii="仿宋_GB2312" w:eastAsia="仿宋_GB2312"/>
                <w:szCs w:val="21"/>
              </w:rPr>
            </w:pPr>
            <w:r>
              <w:rPr>
                <w:rFonts w:hint="eastAsia" w:ascii="仿宋_GB2312" w:eastAsia="仿宋_GB2312"/>
                <w:szCs w:val="21"/>
              </w:rPr>
              <w:t>南川水库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pPr>
              <w:tabs>
                <w:tab w:val="left" w:pos="855"/>
                <w:tab w:val="left" w:pos="1440"/>
              </w:tabs>
              <w:spacing w:line="400" w:lineRule="exact"/>
              <w:jc w:val="center"/>
              <w:rPr>
                <w:rFonts w:ascii="仿宋_GB2312" w:eastAsia="仿宋_GB2312"/>
                <w:szCs w:val="21"/>
              </w:rPr>
            </w:pPr>
            <w:bookmarkStart w:id="131" w:name="_Toc21781"/>
            <w:r>
              <w:rPr>
                <w:rFonts w:ascii="仿宋_GB2312" w:eastAsia="仿宋_GB2312"/>
                <w:szCs w:val="21"/>
              </w:rPr>
              <w:t>2</w:t>
            </w:r>
            <w:bookmarkEnd w:id="131"/>
          </w:p>
        </w:tc>
        <w:tc>
          <w:tcPr>
            <w:tcW w:w="661" w:type="pct"/>
            <w:vAlign w:val="center"/>
          </w:tcPr>
          <w:p>
            <w:pPr>
              <w:tabs>
                <w:tab w:val="left" w:pos="855"/>
                <w:tab w:val="left" w:pos="1440"/>
              </w:tabs>
              <w:spacing w:line="400" w:lineRule="exact"/>
              <w:jc w:val="center"/>
              <w:rPr>
                <w:rFonts w:ascii="方正小标宋简体" w:eastAsia="方正小标宋简体"/>
                <w:szCs w:val="21"/>
              </w:rPr>
            </w:pPr>
            <w:bookmarkStart w:id="132" w:name="_Toc27819"/>
            <w:r>
              <w:rPr>
                <w:rFonts w:hint="eastAsia" w:ascii="仿宋_GB2312" w:eastAsia="仿宋_GB2312"/>
                <w:szCs w:val="21"/>
              </w:rPr>
              <w:t>咸安区</w:t>
            </w:r>
            <w:bookmarkEnd w:id="132"/>
          </w:p>
        </w:tc>
        <w:tc>
          <w:tcPr>
            <w:tcW w:w="1327" w:type="pct"/>
            <w:vAlign w:val="center"/>
          </w:tcPr>
          <w:p>
            <w:pPr>
              <w:tabs>
                <w:tab w:val="left" w:pos="855"/>
                <w:tab w:val="left" w:pos="1440"/>
              </w:tabs>
              <w:spacing w:line="400" w:lineRule="exact"/>
              <w:jc w:val="center"/>
              <w:rPr>
                <w:rFonts w:ascii="方正小标宋简体" w:eastAsia="方正小标宋简体"/>
                <w:szCs w:val="21"/>
              </w:rPr>
            </w:pPr>
            <w:bookmarkStart w:id="133" w:name="_Toc31640"/>
            <w:r>
              <w:rPr>
                <w:rFonts w:hint="eastAsia" w:ascii="仿宋_GB2312" w:eastAsia="仿宋_GB2312"/>
                <w:szCs w:val="21"/>
              </w:rPr>
              <w:t>马桥镇</w:t>
            </w:r>
            <w:bookmarkEnd w:id="133"/>
          </w:p>
        </w:tc>
        <w:tc>
          <w:tcPr>
            <w:tcW w:w="1483" w:type="pct"/>
            <w:vAlign w:val="center"/>
          </w:tcPr>
          <w:p>
            <w:pPr>
              <w:tabs>
                <w:tab w:val="left" w:pos="855"/>
                <w:tab w:val="left" w:pos="1440"/>
              </w:tabs>
              <w:spacing w:line="400" w:lineRule="exact"/>
              <w:jc w:val="center"/>
              <w:rPr>
                <w:rFonts w:ascii="方正小标宋简体" w:eastAsia="方正小标宋简体"/>
                <w:szCs w:val="21"/>
              </w:rPr>
            </w:pPr>
            <w:bookmarkStart w:id="134" w:name="_Toc24244"/>
            <w:r>
              <w:rPr>
                <w:rFonts w:hint="eastAsia" w:ascii="仿宋_GB2312" w:eastAsia="仿宋_GB2312"/>
                <w:szCs w:val="21"/>
              </w:rPr>
              <w:t>四门楼村</w:t>
            </w:r>
            <w:bookmarkEnd w:id="134"/>
          </w:p>
        </w:tc>
        <w:tc>
          <w:tcPr>
            <w:tcW w:w="1034" w:type="pct"/>
            <w:vAlign w:val="center"/>
          </w:tcPr>
          <w:p>
            <w:pPr>
              <w:tabs>
                <w:tab w:val="left" w:pos="855"/>
                <w:tab w:val="left" w:pos="1440"/>
              </w:tabs>
              <w:spacing w:line="400" w:lineRule="exact"/>
              <w:jc w:val="center"/>
              <w:rPr>
                <w:rFonts w:ascii="方正小标宋简体" w:eastAsia="方正小标宋简体"/>
                <w:szCs w:val="21"/>
              </w:rPr>
            </w:pPr>
            <w:bookmarkStart w:id="135" w:name="_Toc4843"/>
            <w:r>
              <w:rPr>
                <w:rFonts w:hint="eastAsia" w:ascii="仿宋_GB2312" w:eastAsia="仿宋_GB2312"/>
                <w:szCs w:val="21"/>
              </w:rPr>
              <w:t>四门楼水库</w:t>
            </w:r>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pPr>
              <w:tabs>
                <w:tab w:val="left" w:pos="855"/>
                <w:tab w:val="left" w:pos="1440"/>
              </w:tabs>
              <w:spacing w:line="400" w:lineRule="exact"/>
              <w:jc w:val="center"/>
              <w:rPr>
                <w:rFonts w:ascii="仿宋_GB2312" w:eastAsia="仿宋_GB2312"/>
                <w:szCs w:val="21"/>
              </w:rPr>
            </w:pPr>
            <w:bookmarkStart w:id="136" w:name="_Toc30226"/>
            <w:r>
              <w:rPr>
                <w:rFonts w:ascii="仿宋_GB2312" w:eastAsia="仿宋_GB2312"/>
                <w:szCs w:val="21"/>
              </w:rPr>
              <w:t>3</w:t>
            </w:r>
            <w:bookmarkEnd w:id="136"/>
          </w:p>
        </w:tc>
        <w:tc>
          <w:tcPr>
            <w:tcW w:w="661" w:type="pct"/>
            <w:vAlign w:val="center"/>
          </w:tcPr>
          <w:p>
            <w:pPr>
              <w:tabs>
                <w:tab w:val="left" w:pos="855"/>
                <w:tab w:val="left" w:pos="1440"/>
              </w:tabs>
              <w:spacing w:line="400" w:lineRule="exact"/>
              <w:jc w:val="center"/>
              <w:rPr>
                <w:rFonts w:ascii="仿宋_GB2312" w:eastAsia="仿宋_GB2312"/>
                <w:szCs w:val="21"/>
              </w:rPr>
            </w:pPr>
            <w:bookmarkStart w:id="137" w:name="_Toc17381"/>
            <w:r>
              <w:rPr>
                <w:rFonts w:hint="eastAsia" w:ascii="仿宋_GB2312" w:eastAsia="仿宋_GB2312"/>
                <w:szCs w:val="21"/>
              </w:rPr>
              <w:t>嘉鱼县</w:t>
            </w:r>
            <w:bookmarkEnd w:id="137"/>
          </w:p>
        </w:tc>
        <w:tc>
          <w:tcPr>
            <w:tcW w:w="1327" w:type="pct"/>
            <w:vAlign w:val="center"/>
          </w:tcPr>
          <w:p>
            <w:pPr>
              <w:tabs>
                <w:tab w:val="left" w:pos="855"/>
                <w:tab w:val="left" w:pos="1440"/>
              </w:tabs>
              <w:spacing w:line="400" w:lineRule="exact"/>
              <w:jc w:val="center"/>
              <w:rPr>
                <w:rFonts w:ascii="仿宋_GB2312" w:eastAsia="仿宋_GB2312"/>
                <w:szCs w:val="21"/>
              </w:rPr>
            </w:pPr>
            <w:bookmarkStart w:id="138" w:name="_Toc20616"/>
            <w:r>
              <w:rPr>
                <w:rFonts w:hint="eastAsia" w:ascii="仿宋_GB2312" w:eastAsia="仿宋_GB2312"/>
                <w:szCs w:val="21"/>
              </w:rPr>
              <w:t>鱼岳镇</w:t>
            </w:r>
            <w:bookmarkEnd w:id="138"/>
          </w:p>
        </w:tc>
        <w:tc>
          <w:tcPr>
            <w:tcW w:w="1483" w:type="pct"/>
            <w:vAlign w:val="center"/>
          </w:tcPr>
          <w:p>
            <w:pPr>
              <w:tabs>
                <w:tab w:val="left" w:pos="855"/>
                <w:tab w:val="left" w:pos="1440"/>
              </w:tabs>
              <w:spacing w:line="400" w:lineRule="exact"/>
              <w:jc w:val="center"/>
              <w:rPr>
                <w:rFonts w:ascii="仿宋_GB2312" w:eastAsia="仿宋_GB2312"/>
                <w:szCs w:val="21"/>
              </w:rPr>
            </w:pPr>
          </w:p>
        </w:tc>
        <w:tc>
          <w:tcPr>
            <w:tcW w:w="1034" w:type="pct"/>
            <w:vAlign w:val="center"/>
          </w:tcPr>
          <w:p>
            <w:pPr>
              <w:tabs>
                <w:tab w:val="left" w:pos="855"/>
                <w:tab w:val="left" w:pos="1440"/>
              </w:tabs>
              <w:spacing w:line="400" w:lineRule="exact"/>
              <w:jc w:val="center"/>
              <w:rPr>
                <w:rFonts w:ascii="仿宋_GB2312" w:eastAsia="仿宋_GB2312"/>
                <w:szCs w:val="21"/>
              </w:rPr>
            </w:pPr>
            <w:bookmarkStart w:id="139" w:name="_Toc29815"/>
            <w:r>
              <w:rPr>
                <w:rFonts w:hint="eastAsia" w:ascii="仿宋_GB2312" w:eastAsia="仿宋_GB2312"/>
                <w:szCs w:val="21"/>
              </w:rPr>
              <w:t>三湖连江</w:t>
            </w:r>
            <w:bookmarkEnd w:id="139"/>
          </w:p>
          <w:p>
            <w:pPr>
              <w:tabs>
                <w:tab w:val="left" w:pos="855"/>
                <w:tab w:val="left" w:pos="1440"/>
              </w:tabs>
              <w:spacing w:line="400" w:lineRule="exact"/>
              <w:jc w:val="center"/>
              <w:rPr>
                <w:rFonts w:ascii="仿宋_GB2312" w:eastAsia="仿宋_GB2312"/>
                <w:szCs w:val="21"/>
              </w:rPr>
            </w:pPr>
            <w:bookmarkStart w:id="140" w:name="_Toc26258"/>
            <w:r>
              <w:rPr>
                <w:rFonts w:hint="eastAsia" w:ascii="仿宋_GB2312" w:eastAsia="仿宋_GB2312"/>
                <w:szCs w:val="21"/>
              </w:rPr>
              <w:t>泄洪闸</w:t>
            </w:r>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pPr>
              <w:tabs>
                <w:tab w:val="left" w:pos="855"/>
                <w:tab w:val="left" w:pos="1440"/>
              </w:tabs>
              <w:spacing w:line="400" w:lineRule="exact"/>
              <w:jc w:val="center"/>
              <w:rPr>
                <w:rFonts w:ascii="仿宋_GB2312" w:eastAsia="仿宋_GB2312"/>
                <w:szCs w:val="21"/>
              </w:rPr>
            </w:pPr>
            <w:bookmarkStart w:id="141" w:name="_Toc1084"/>
            <w:r>
              <w:rPr>
                <w:rFonts w:ascii="仿宋_GB2312" w:eastAsia="仿宋_GB2312"/>
                <w:szCs w:val="21"/>
              </w:rPr>
              <w:t>4</w:t>
            </w:r>
            <w:bookmarkEnd w:id="141"/>
          </w:p>
        </w:tc>
        <w:tc>
          <w:tcPr>
            <w:tcW w:w="661" w:type="pct"/>
            <w:vAlign w:val="center"/>
          </w:tcPr>
          <w:p>
            <w:pPr>
              <w:tabs>
                <w:tab w:val="left" w:pos="855"/>
                <w:tab w:val="left" w:pos="1440"/>
              </w:tabs>
              <w:spacing w:line="400" w:lineRule="exact"/>
              <w:jc w:val="center"/>
              <w:rPr>
                <w:rFonts w:ascii="仿宋_GB2312" w:eastAsia="仿宋_GB2312"/>
                <w:szCs w:val="21"/>
              </w:rPr>
            </w:pPr>
            <w:bookmarkStart w:id="142" w:name="_Toc26179"/>
            <w:r>
              <w:rPr>
                <w:rFonts w:hint="eastAsia" w:ascii="仿宋_GB2312" w:eastAsia="仿宋_GB2312" w:cs="宋体"/>
                <w:szCs w:val="21"/>
              </w:rPr>
              <w:t>赤壁市</w:t>
            </w:r>
            <w:bookmarkEnd w:id="142"/>
          </w:p>
        </w:tc>
        <w:tc>
          <w:tcPr>
            <w:tcW w:w="1327" w:type="pct"/>
            <w:vAlign w:val="center"/>
          </w:tcPr>
          <w:p>
            <w:pPr>
              <w:tabs>
                <w:tab w:val="left" w:pos="855"/>
                <w:tab w:val="left" w:pos="1440"/>
              </w:tabs>
              <w:spacing w:line="400" w:lineRule="exact"/>
              <w:jc w:val="center"/>
              <w:rPr>
                <w:rFonts w:ascii="仿宋_GB2312" w:eastAsia="仿宋_GB2312"/>
                <w:szCs w:val="21"/>
              </w:rPr>
            </w:pPr>
            <w:bookmarkStart w:id="143" w:name="_Toc2639"/>
            <w:r>
              <w:rPr>
                <w:rFonts w:hint="eastAsia" w:ascii="仿宋_GB2312" w:eastAsia="仿宋_GB2312" w:cs="宋体"/>
                <w:szCs w:val="21"/>
              </w:rPr>
              <w:t>赤马港街道办事处（渠首）、神山镇（渠尾）</w:t>
            </w:r>
            <w:bookmarkEnd w:id="143"/>
          </w:p>
        </w:tc>
        <w:tc>
          <w:tcPr>
            <w:tcW w:w="1483" w:type="pct"/>
            <w:vAlign w:val="center"/>
          </w:tcPr>
          <w:p>
            <w:pPr>
              <w:tabs>
                <w:tab w:val="left" w:pos="855"/>
                <w:tab w:val="left" w:pos="1440"/>
              </w:tabs>
              <w:spacing w:line="400" w:lineRule="exact"/>
              <w:jc w:val="center"/>
              <w:rPr>
                <w:rFonts w:ascii="仿宋_GB2312" w:eastAsia="仿宋_GB2312"/>
                <w:szCs w:val="21"/>
              </w:rPr>
            </w:pPr>
            <w:bookmarkStart w:id="144" w:name="_Toc3640"/>
            <w:r>
              <w:rPr>
                <w:rFonts w:hint="eastAsia" w:ascii="仿宋_GB2312" w:eastAsia="仿宋_GB2312" w:cs="宋体"/>
                <w:szCs w:val="21"/>
              </w:rPr>
              <w:t>青泉社区（渠首）、油铺岭村（渠尾）</w:t>
            </w:r>
            <w:bookmarkEnd w:id="144"/>
          </w:p>
        </w:tc>
        <w:tc>
          <w:tcPr>
            <w:tcW w:w="1034" w:type="pct"/>
            <w:vAlign w:val="center"/>
          </w:tcPr>
          <w:p>
            <w:pPr>
              <w:tabs>
                <w:tab w:val="left" w:pos="855"/>
                <w:tab w:val="left" w:pos="1440"/>
              </w:tabs>
              <w:spacing w:line="400" w:lineRule="exact"/>
              <w:jc w:val="center"/>
              <w:rPr>
                <w:rFonts w:ascii="仿宋_GB2312" w:eastAsia="仿宋_GB2312"/>
                <w:szCs w:val="21"/>
              </w:rPr>
            </w:pPr>
            <w:bookmarkStart w:id="145" w:name="_Toc1795"/>
            <w:r>
              <w:rPr>
                <w:rFonts w:hint="eastAsia" w:ascii="仿宋_GB2312" w:eastAsia="仿宋_GB2312" w:cs="宋体"/>
                <w:szCs w:val="21"/>
              </w:rPr>
              <w:t>湖北省陆水灌区北干渠</w:t>
            </w:r>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pPr>
              <w:tabs>
                <w:tab w:val="left" w:pos="855"/>
                <w:tab w:val="left" w:pos="1440"/>
              </w:tabs>
              <w:spacing w:line="400" w:lineRule="exact"/>
              <w:jc w:val="center"/>
              <w:rPr>
                <w:rFonts w:ascii="仿宋_GB2312" w:eastAsia="仿宋_GB2312"/>
                <w:szCs w:val="21"/>
              </w:rPr>
            </w:pPr>
            <w:bookmarkStart w:id="146" w:name="_Toc20731"/>
            <w:r>
              <w:rPr>
                <w:rFonts w:ascii="仿宋_GB2312" w:eastAsia="仿宋_GB2312"/>
                <w:szCs w:val="21"/>
              </w:rPr>
              <w:t>5</w:t>
            </w:r>
            <w:bookmarkEnd w:id="146"/>
          </w:p>
        </w:tc>
        <w:tc>
          <w:tcPr>
            <w:tcW w:w="661" w:type="pct"/>
            <w:vAlign w:val="center"/>
          </w:tcPr>
          <w:p>
            <w:pPr>
              <w:tabs>
                <w:tab w:val="left" w:pos="855"/>
                <w:tab w:val="left" w:pos="1440"/>
              </w:tabs>
              <w:spacing w:line="400" w:lineRule="exact"/>
              <w:jc w:val="center"/>
              <w:rPr>
                <w:rFonts w:ascii="仿宋_GB2312" w:eastAsia="仿宋_GB2312"/>
                <w:szCs w:val="21"/>
              </w:rPr>
            </w:pPr>
            <w:bookmarkStart w:id="147" w:name="_Toc20536"/>
            <w:r>
              <w:rPr>
                <w:rFonts w:hint="eastAsia" w:ascii="仿宋_GB2312" w:eastAsia="仿宋_GB2312" w:cs="宋体"/>
                <w:szCs w:val="21"/>
              </w:rPr>
              <w:t>赤壁市</w:t>
            </w:r>
            <w:bookmarkEnd w:id="147"/>
          </w:p>
        </w:tc>
        <w:tc>
          <w:tcPr>
            <w:tcW w:w="1327" w:type="pct"/>
            <w:vAlign w:val="center"/>
          </w:tcPr>
          <w:p>
            <w:pPr>
              <w:tabs>
                <w:tab w:val="left" w:pos="855"/>
                <w:tab w:val="left" w:pos="1440"/>
              </w:tabs>
              <w:spacing w:line="400" w:lineRule="exact"/>
              <w:jc w:val="center"/>
              <w:rPr>
                <w:rFonts w:ascii="仿宋_GB2312" w:eastAsia="仿宋_GB2312"/>
                <w:szCs w:val="21"/>
              </w:rPr>
            </w:pPr>
            <w:bookmarkStart w:id="148" w:name="_Toc3202"/>
            <w:r>
              <w:rPr>
                <w:rFonts w:hint="eastAsia" w:ascii="仿宋_GB2312" w:eastAsia="仿宋_GB2312" w:cs="宋体"/>
                <w:szCs w:val="21"/>
              </w:rPr>
              <w:t>蒲圻街道办事处（渠首）、车埠镇（渠尾）</w:t>
            </w:r>
            <w:bookmarkEnd w:id="148"/>
          </w:p>
        </w:tc>
        <w:tc>
          <w:tcPr>
            <w:tcW w:w="1483" w:type="pct"/>
            <w:vAlign w:val="center"/>
          </w:tcPr>
          <w:p>
            <w:pPr>
              <w:tabs>
                <w:tab w:val="left" w:pos="855"/>
                <w:tab w:val="left" w:pos="1440"/>
              </w:tabs>
              <w:spacing w:line="400" w:lineRule="exact"/>
              <w:jc w:val="center"/>
              <w:rPr>
                <w:rFonts w:ascii="仿宋_GB2312" w:eastAsia="仿宋_GB2312"/>
                <w:szCs w:val="21"/>
              </w:rPr>
            </w:pPr>
            <w:bookmarkStart w:id="149" w:name="_Toc30037"/>
            <w:r>
              <w:rPr>
                <w:rFonts w:hint="eastAsia" w:ascii="仿宋_GB2312" w:eastAsia="仿宋_GB2312" w:cs="宋体"/>
                <w:szCs w:val="21"/>
              </w:rPr>
              <w:t>红旗桥社区（渠首）、鸡公山村（渠尾）</w:t>
            </w:r>
            <w:bookmarkEnd w:id="149"/>
          </w:p>
        </w:tc>
        <w:tc>
          <w:tcPr>
            <w:tcW w:w="1034" w:type="pct"/>
            <w:vAlign w:val="center"/>
          </w:tcPr>
          <w:p>
            <w:pPr>
              <w:tabs>
                <w:tab w:val="left" w:pos="855"/>
                <w:tab w:val="left" w:pos="1440"/>
              </w:tabs>
              <w:spacing w:line="400" w:lineRule="exact"/>
              <w:jc w:val="center"/>
              <w:rPr>
                <w:rFonts w:ascii="仿宋_GB2312" w:eastAsia="仿宋_GB2312"/>
                <w:szCs w:val="21"/>
              </w:rPr>
            </w:pPr>
            <w:bookmarkStart w:id="150" w:name="_Toc16052"/>
            <w:r>
              <w:rPr>
                <w:rFonts w:hint="eastAsia" w:ascii="仿宋_GB2312" w:eastAsia="仿宋_GB2312" w:cs="宋体"/>
                <w:szCs w:val="21"/>
              </w:rPr>
              <w:t>湖北省陆水灌区南干渠</w:t>
            </w:r>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pPr>
              <w:tabs>
                <w:tab w:val="left" w:pos="855"/>
                <w:tab w:val="left" w:pos="1440"/>
              </w:tabs>
              <w:spacing w:line="400" w:lineRule="exact"/>
              <w:jc w:val="center"/>
              <w:rPr>
                <w:rFonts w:ascii="仿宋_GB2312" w:eastAsia="仿宋_GB2312"/>
                <w:szCs w:val="21"/>
              </w:rPr>
            </w:pPr>
            <w:bookmarkStart w:id="151" w:name="_Toc61"/>
            <w:r>
              <w:rPr>
                <w:rFonts w:ascii="仿宋_GB2312" w:eastAsia="仿宋_GB2312"/>
                <w:szCs w:val="21"/>
              </w:rPr>
              <w:t>6</w:t>
            </w:r>
            <w:bookmarkEnd w:id="151"/>
          </w:p>
        </w:tc>
        <w:tc>
          <w:tcPr>
            <w:tcW w:w="661" w:type="pct"/>
            <w:vAlign w:val="center"/>
          </w:tcPr>
          <w:p>
            <w:pPr>
              <w:tabs>
                <w:tab w:val="left" w:pos="855"/>
                <w:tab w:val="left" w:pos="1440"/>
              </w:tabs>
              <w:spacing w:line="400" w:lineRule="exact"/>
              <w:jc w:val="center"/>
              <w:rPr>
                <w:rFonts w:ascii="仿宋_GB2312" w:eastAsia="仿宋_GB2312" w:cs="宋体"/>
                <w:szCs w:val="21"/>
              </w:rPr>
            </w:pPr>
            <w:bookmarkStart w:id="152" w:name="_Toc10015"/>
            <w:r>
              <w:rPr>
                <w:rFonts w:hint="eastAsia" w:ascii="仿宋_GB2312" w:eastAsia="仿宋_GB2312" w:cs="宋体"/>
                <w:szCs w:val="21"/>
              </w:rPr>
              <w:t>通山县</w:t>
            </w:r>
            <w:bookmarkEnd w:id="152"/>
          </w:p>
        </w:tc>
        <w:tc>
          <w:tcPr>
            <w:tcW w:w="1327" w:type="pct"/>
            <w:vAlign w:val="center"/>
          </w:tcPr>
          <w:p>
            <w:pPr>
              <w:tabs>
                <w:tab w:val="left" w:pos="855"/>
                <w:tab w:val="left" w:pos="1440"/>
              </w:tabs>
              <w:spacing w:line="400" w:lineRule="exact"/>
              <w:jc w:val="center"/>
              <w:rPr>
                <w:rFonts w:ascii="仿宋_GB2312" w:eastAsia="仿宋_GB2312" w:cs="宋体"/>
                <w:szCs w:val="21"/>
              </w:rPr>
            </w:pPr>
            <w:bookmarkStart w:id="153" w:name="_Toc25267"/>
            <w:r>
              <w:rPr>
                <w:rFonts w:hint="eastAsia" w:ascii="仿宋_GB2312" w:eastAsia="仿宋_GB2312" w:cs="宋体"/>
                <w:szCs w:val="21"/>
              </w:rPr>
              <w:t>楠林桥镇</w:t>
            </w:r>
            <w:bookmarkEnd w:id="153"/>
          </w:p>
        </w:tc>
        <w:tc>
          <w:tcPr>
            <w:tcW w:w="1483" w:type="pct"/>
            <w:vAlign w:val="center"/>
          </w:tcPr>
          <w:p>
            <w:pPr>
              <w:tabs>
                <w:tab w:val="left" w:pos="855"/>
                <w:tab w:val="left" w:pos="1440"/>
              </w:tabs>
              <w:spacing w:line="400" w:lineRule="exact"/>
              <w:jc w:val="center"/>
              <w:rPr>
                <w:rFonts w:ascii="仿宋_GB2312" w:eastAsia="仿宋_GB2312"/>
                <w:szCs w:val="21"/>
              </w:rPr>
            </w:pPr>
            <w:bookmarkStart w:id="154" w:name="_Toc1852"/>
            <w:r>
              <w:rPr>
                <w:rFonts w:hint="eastAsia" w:ascii="仿宋_GB2312" w:eastAsia="仿宋_GB2312"/>
                <w:szCs w:val="21"/>
              </w:rPr>
              <w:t>石门村、雨山村、湄港村、罗城村等</w:t>
            </w:r>
            <w:bookmarkEnd w:id="154"/>
          </w:p>
        </w:tc>
        <w:tc>
          <w:tcPr>
            <w:tcW w:w="1034" w:type="pct"/>
            <w:vAlign w:val="center"/>
          </w:tcPr>
          <w:p>
            <w:pPr>
              <w:tabs>
                <w:tab w:val="left" w:pos="855"/>
                <w:tab w:val="left" w:pos="1440"/>
              </w:tabs>
              <w:spacing w:line="400" w:lineRule="exact"/>
              <w:jc w:val="center"/>
              <w:rPr>
                <w:rFonts w:ascii="仿宋_GB2312" w:eastAsia="仿宋_GB2312"/>
                <w:szCs w:val="21"/>
              </w:rPr>
            </w:pPr>
            <w:bookmarkStart w:id="155" w:name="_Toc7171"/>
            <w:r>
              <w:rPr>
                <w:rFonts w:hint="eastAsia" w:ascii="仿宋_GB2312" w:eastAsia="仿宋_GB2312" w:cs="宋体"/>
                <w:szCs w:val="21"/>
              </w:rPr>
              <w:t>石雨塘灌区</w:t>
            </w:r>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pPr>
              <w:tabs>
                <w:tab w:val="left" w:pos="855"/>
                <w:tab w:val="left" w:pos="1440"/>
              </w:tabs>
              <w:spacing w:line="400" w:lineRule="exact"/>
              <w:jc w:val="center"/>
              <w:rPr>
                <w:rFonts w:ascii="仿宋_GB2312" w:eastAsia="仿宋_GB2312"/>
                <w:szCs w:val="21"/>
              </w:rPr>
            </w:pPr>
            <w:bookmarkStart w:id="156" w:name="_Toc32247"/>
            <w:r>
              <w:rPr>
                <w:rFonts w:ascii="仿宋_GB2312" w:eastAsia="仿宋_GB2312"/>
                <w:szCs w:val="21"/>
              </w:rPr>
              <w:t>7</w:t>
            </w:r>
            <w:bookmarkEnd w:id="156"/>
          </w:p>
        </w:tc>
        <w:tc>
          <w:tcPr>
            <w:tcW w:w="661" w:type="pct"/>
            <w:vAlign w:val="center"/>
          </w:tcPr>
          <w:p>
            <w:pPr>
              <w:tabs>
                <w:tab w:val="left" w:pos="855"/>
                <w:tab w:val="left" w:pos="1440"/>
              </w:tabs>
              <w:spacing w:line="400" w:lineRule="exact"/>
              <w:jc w:val="center"/>
              <w:rPr>
                <w:rFonts w:ascii="仿宋_GB2312" w:eastAsia="仿宋_GB2312" w:cs="宋体"/>
                <w:szCs w:val="21"/>
              </w:rPr>
            </w:pPr>
            <w:bookmarkStart w:id="157" w:name="_Toc16630"/>
            <w:r>
              <w:rPr>
                <w:rFonts w:hint="eastAsia" w:ascii="仿宋_GB2312" w:eastAsia="仿宋_GB2312" w:cs="宋体"/>
                <w:szCs w:val="21"/>
              </w:rPr>
              <w:t>通山县</w:t>
            </w:r>
            <w:bookmarkEnd w:id="157"/>
          </w:p>
        </w:tc>
        <w:tc>
          <w:tcPr>
            <w:tcW w:w="1327" w:type="pct"/>
            <w:vAlign w:val="center"/>
          </w:tcPr>
          <w:p>
            <w:pPr>
              <w:tabs>
                <w:tab w:val="left" w:pos="855"/>
                <w:tab w:val="left" w:pos="1440"/>
              </w:tabs>
              <w:spacing w:line="400" w:lineRule="exact"/>
              <w:jc w:val="center"/>
              <w:rPr>
                <w:rFonts w:ascii="仿宋_GB2312" w:eastAsia="仿宋_GB2312" w:cs="宋体"/>
                <w:szCs w:val="21"/>
              </w:rPr>
            </w:pPr>
            <w:bookmarkStart w:id="158" w:name="_Toc8276"/>
            <w:r>
              <w:rPr>
                <w:rFonts w:hint="eastAsia" w:ascii="仿宋_GB2312" w:eastAsia="仿宋_GB2312" w:cs="宋体"/>
                <w:szCs w:val="21"/>
              </w:rPr>
              <w:t>大路乡</w:t>
            </w:r>
            <w:bookmarkEnd w:id="158"/>
          </w:p>
        </w:tc>
        <w:tc>
          <w:tcPr>
            <w:tcW w:w="1483" w:type="pct"/>
            <w:vAlign w:val="center"/>
          </w:tcPr>
          <w:p>
            <w:pPr>
              <w:tabs>
                <w:tab w:val="left" w:pos="855"/>
                <w:tab w:val="left" w:pos="1440"/>
              </w:tabs>
              <w:spacing w:line="400" w:lineRule="exact"/>
              <w:jc w:val="center"/>
              <w:rPr>
                <w:rFonts w:ascii="仿宋_GB2312" w:eastAsia="仿宋_GB2312"/>
                <w:szCs w:val="21"/>
              </w:rPr>
            </w:pPr>
            <w:bookmarkStart w:id="159" w:name="_Toc8279"/>
            <w:r>
              <w:rPr>
                <w:rFonts w:hint="eastAsia" w:ascii="仿宋_GB2312" w:eastAsia="仿宋_GB2312"/>
                <w:szCs w:val="21"/>
              </w:rPr>
              <w:t>焦夏村、坳上村、宾兴会村、神堂铺村、新桥冯村、东坑村等</w:t>
            </w:r>
            <w:bookmarkEnd w:id="159"/>
          </w:p>
        </w:tc>
        <w:tc>
          <w:tcPr>
            <w:tcW w:w="1034" w:type="pct"/>
            <w:vAlign w:val="center"/>
          </w:tcPr>
          <w:p>
            <w:pPr>
              <w:tabs>
                <w:tab w:val="left" w:pos="855"/>
                <w:tab w:val="left" w:pos="1440"/>
              </w:tabs>
              <w:spacing w:line="400" w:lineRule="exact"/>
              <w:jc w:val="center"/>
              <w:rPr>
                <w:rFonts w:ascii="仿宋_GB2312" w:eastAsia="仿宋_GB2312"/>
                <w:szCs w:val="21"/>
              </w:rPr>
            </w:pPr>
            <w:bookmarkStart w:id="160" w:name="_Toc16491"/>
            <w:r>
              <w:rPr>
                <w:rFonts w:hint="eastAsia" w:ascii="仿宋_GB2312" w:eastAsia="仿宋_GB2312" w:cs="宋体"/>
                <w:szCs w:val="21"/>
              </w:rPr>
              <w:t>石雨塘灌区</w:t>
            </w:r>
            <w:bookmarkEnd w:id="160"/>
          </w:p>
        </w:tc>
      </w:tr>
    </w:tbl>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2.监测项目</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《农田灌溉水质标准》（GB 5084-2005）表1的基本控制项目16项。</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各分局根据本地区农业水源水质特点和环境、农产品管理的需要，选择表2中的选择性控制项目开展监测，作为基本控制项目的补充指标。</w:t>
      </w:r>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3.监测频次</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根据当地主要灌溉作物的用水时间，每半年监测1次、全年2次。</w:t>
      </w:r>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4.数据报送</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市生态环境局生态科负责组织各分局开展相关监测工作，各分局按照国家总站要求（</w:t>
      </w:r>
      <w:r>
        <w:rPr>
          <w:rFonts w:hint="eastAsia" w:ascii="仿宋_GB2312" w:hAnsi="仿宋_GB2312" w:eastAsia="仿宋_GB2312" w:cs="仿宋_GB2312"/>
          <w:sz w:val="28"/>
          <w:szCs w:val="28"/>
        </w:rPr>
        <w:t>报送时间为每年6月、11月底前</w:t>
      </w:r>
      <w:r>
        <w:rPr>
          <w:rFonts w:hint="eastAsia" w:ascii="仿宋_GB2312" w:hAnsi="仿宋_GB2312" w:eastAsia="仿宋_GB2312" w:cs="仿宋_GB2312"/>
          <w:color w:val="000000"/>
          <w:sz w:val="28"/>
          <w:szCs w:val="28"/>
        </w:rPr>
        <w:t>）及时在全国</w:t>
      </w:r>
      <w:r>
        <w:rPr>
          <w:rFonts w:hint="eastAsia" w:ascii="仿宋_GB2312" w:hAnsi="仿宋_GB2312" w:eastAsia="仿宋_GB2312" w:cs="仿宋_GB2312"/>
          <w:sz w:val="28"/>
          <w:szCs w:val="28"/>
        </w:rPr>
        <w:t>生态农村监测业务系统</w:t>
      </w:r>
      <w:r>
        <w:rPr>
          <w:rFonts w:hint="eastAsia" w:ascii="仿宋_GB2312" w:hAnsi="仿宋_GB2312" w:eastAsia="仿宋_GB2312" w:cs="仿宋_GB2312"/>
          <w:color w:val="000000"/>
          <w:sz w:val="28"/>
          <w:szCs w:val="28"/>
        </w:rPr>
        <w:t>内报送农田灌溉水质监测数据，市生态环境局生态科负责数据审核。</w:t>
      </w:r>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5.质量保证与质量控制</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质量保证和质量控制按照《农用水源环境质量监测技术规范》（NY/T 396-2000）、《地表水和污水监测技术规范》（HJ/T91-2002）、《地下水环境监测技术规范》（HJ/T 164-2004）及《环境水质监测质量保证手册（第二版）》有关要求执行。</w:t>
      </w:r>
    </w:p>
    <w:p>
      <w:pPr>
        <w:pStyle w:val="4"/>
        <w:ind w:firstLine="600"/>
        <w:rPr>
          <w:sz w:val="30"/>
          <w:szCs w:val="30"/>
        </w:rPr>
      </w:pPr>
      <w:bookmarkStart w:id="161" w:name="_Toc62822073"/>
      <w:bookmarkStart w:id="162" w:name="_Toc19482"/>
      <w:r>
        <w:rPr>
          <w:rFonts w:hint="eastAsia"/>
          <w:sz w:val="30"/>
          <w:szCs w:val="30"/>
        </w:rPr>
        <w:t>（十</w:t>
      </w:r>
      <w:r>
        <w:rPr>
          <w:rFonts w:hint="eastAsia"/>
          <w:sz w:val="30"/>
          <w:szCs w:val="30"/>
          <w:lang w:eastAsia="zh-CN"/>
        </w:rPr>
        <w:t>八</w:t>
      </w:r>
      <w:r>
        <w:rPr>
          <w:rFonts w:hint="eastAsia"/>
          <w:sz w:val="30"/>
          <w:szCs w:val="30"/>
        </w:rPr>
        <w:t>）农村生活污水处理设施出水水质监测</w:t>
      </w:r>
      <w:bookmarkEnd w:id="161"/>
      <w:bookmarkEnd w:id="162"/>
    </w:p>
    <w:p>
      <w:pPr>
        <w:spacing w:line="560" w:lineRule="exact"/>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1.监测范围</w:t>
      </w:r>
    </w:p>
    <w:p>
      <w:pPr>
        <w:snapToGrid w:val="0"/>
        <w:spacing w:line="560" w:lineRule="exact"/>
        <w:ind w:firstLine="641"/>
        <w:rPr>
          <w:rFonts w:ascii="仿宋_GB2312" w:hAnsi="仿宋_GB2312" w:eastAsia="仿宋_GB2312" w:cs="仿宋_GB2312"/>
          <w:sz w:val="28"/>
          <w:szCs w:val="28"/>
        </w:rPr>
      </w:pPr>
      <w:r>
        <w:rPr>
          <w:rFonts w:hint="eastAsia" w:ascii="仿宋_GB2312" w:hAnsi="仿宋_GB2312" w:eastAsia="仿宋_GB2312" w:cs="仿宋_GB2312"/>
          <w:sz w:val="28"/>
          <w:szCs w:val="28"/>
        </w:rPr>
        <w:t>日处理能力20吨及以上的所有农村生活污水处理设施。未开展监测的，需向省监测中心站提交正式文件予以说明。</w:t>
      </w:r>
    </w:p>
    <w:p>
      <w:pPr>
        <w:tabs>
          <w:tab w:val="left" w:pos="855"/>
          <w:tab w:val="left" w:pos="1440"/>
        </w:tabs>
        <w:spacing w:line="560" w:lineRule="exact"/>
        <w:jc w:val="center"/>
        <w:rPr>
          <w:rFonts w:ascii="黑体" w:hAnsi="黑体" w:eastAsia="黑体" w:cs="黑体"/>
          <w:sz w:val="24"/>
          <w:szCs w:val="24"/>
        </w:rPr>
      </w:pPr>
      <w:bookmarkStart w:id="163" w:name="_Toc5897"/>
      <w:r>
        <w:rPr>
          <w:rFonts w:hint="eastAsia" w:ascii="黑体" w:hAnsi="黑体" w:eastAsia="黑体" w:cs="黑体"/>
          <w:color w:val="000000"/>
          <w:sz w:val="24"/>
          <w:szCs w:val="24"/>
        </w:rPr>
        <w:t>表1</w:t>
      </w:r>
      <w:r>
        <w:rPr>
          <w:rFonts w:hint="eastAsia" w:ascii="黑体" w:hAnsi="黑体" w:eastAsia="黑体" w:cs="黑体"/>
          <w:color w:val="000000"/>
          <w:sz w:val="24"/>
          <w:szCs w:val="24"/>
          <w:lang w:val="en-US" w:eastAsia="zh-CN"/>
        </w:rPr>
        <w:t xml:space="preserve">5 </w:t>
      </w:r>
      <w:r>
        <w:rPr>
          <w:rFonts w:hint="eastAsia" w:ascii="黑体" w:hAnsi="黑体" w:eastAsia="黑体" w:cs="黑体"/>
          <w:sz w:val="24"/>
          <w:szCs w:val="24"/>
        </w:rPr>
        <w:t>咸宁市农村生活污水处理设施出水水质监测名单</w:t>
      </w:r>
      <w:bookmarkEnd w:id="163"/>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07"/>
        <w:gridCol w:w="1387"/>
        <w:gridCol w:w="1721"/>
        <w:gridCol w:w="3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164" w:name="_Toc18398"/>
            <w:r>
              <w:rPr>
                <w:rFonts w:hint="eastAsia" w:ascii="仿宋_GB2312" w:hAnsi="仿宋_GB2312" w:eastAsia="仿宋_GB2312" w:cs="仿宋_GB2312"/>
                <w:b/>
                <w:bCs/>
                <w:szCs w:val="21"/>
              </w:rPr>
              <w:t>序号</w:t>
            </w:r>
            <w:bookmarkEnd w:id="164"/>
          </w:p>
        </w:tc>
        <w:tc>
          <w:tcPr>
            <w:tcW w:w="627"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165" w:name="_Toc24788"/>
            <w:r>
              <w:rPr>
                <w:rFonts w:hint="eastAsia" w:ascii="仿宋_GB2312" w:hAnsi="仿宋_GB2312" w:eastAsia="仿宋_GB2312" w:cs="仿宋_GB2312"/>
                <w:b/>
                <w:bCs/>
                <w:szCs w:val="21"/>
              </w:rPr>
              <w:t>县市区</w:t>
            </w:r>
            <w:bookmarkEnd w:id="165"/>
          </w:p>
        </w:tc>
        <w:tc>
          <w:tcPr>
            <w:tcW w:w="785"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166" w:name="_Toc15489"/>
            <w:r>
              <w:rPr>
                <w:rFonts w:hint="eastAsia" w:ascii="仿宋_GB2312" w:hAnsi="仿宋_GB2312" w:eastAsia="仿宋_GB2312" w:cs="仿宋_GB2312"/>
                <w:b/>
                <w:bCs/>
                <w:szCs w:val="21"/>
              </w:rPr>
              <w:t>乡 镇</w:t>
            </w:r>
            <w:bookmarkEnd w:id="166"/>
          </w:p>
        </w:tc>
        <w:tc>
          <w:tcPr>
            <w:tcW w:w="974"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167" w:name="_Toc31485"/>
            <w:r>
              <w:rPr>
                <w:rFonts w:hint="eastAsia" w:ascii="仿宋_GB2312" w:hAnsi="仿宋_GB2312" w:eastAsia="仿宋_GB2312" w:cs="仿宋_GB2312"/>
                <w:b/>
                <w:bCs/>
                <w:szCs w:val="21"/>
              </w:rPr>
              <w:t>村</w:t>
            </w:r>
            <w:bookmarkEnd w:id="167"/>
          </w:p>
        </w:tc>
        <w:tc>
          <w:tcPr>
            <w:tcW w:w="2203" w:type="pct"/>
            <w:vAlign w:val="center"/>
          </w:tcPr>
          <w:p>
            <w:pPr>
              <w:tabs>
                <w:tab w:val="left" w:pos="855"/>
                <w:tab w:val="left" w:pos="1440"/>
              </w:tabs>
              <w:spacing w:line="400" w:lineRule="exact"/>
              <w:jc w:val="center"/>
              <w:rPr>
                <w:rFonts w:ascii="仿宋_GB2312" w:hAnsi="仿宋_GB2312" w:eastAsia="仿宋_GB2312" w:cs="仿宋_GB2312"/>
                <w:b/>
                <w:bCs/>
                <w:szCs w:val="21"/>
              </w:rPr>
            </w:pPr>
            <w:bookmarkStart w:id="168" w:name="_Toc15220"/>
            <w:r>
              <w:rPr>
                <w:rFonts w:hint="eastAsia" w:ascii="仿宋_GB2312" w:hAnsi="仿宋_GB2312" w:eastAsia="仿宋_GB2312" w:cs="仿宋_GB2312"/>
                <w:b/>
                <w:bCs/>
                <w:szCs w:val="21"/>
              </w:rPr>
              <w:t>处理规模和工艺</w:t>
            </w:r>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69" w:name="_Toc29947"/>
            <w:r>
              <w:rPr>
                <w:rFonts w:hint="eastAsia" w:ascii="仿宋_GB2312" w:hAnsi="仿宋_GB2312" w:eastAsia="仿宋_GB2312" w:cs="仿宋_GB2312"/>
                <w:szCs w:val="21"/>
              </w:rPr>
              <w:t>1</w:t>
            </w:r>
            <w:bookmarkEnd w:id="169"/>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横沟桥镇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杨畈村8.9组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杨畈村8.9组处理站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70" w:name="_Toc19345"/>
            <w:r>
              <w:rPr>
                <w:rFonts w:hint="eastAsia" w:ascii="仿宋_GB2312" w:hAnsi="仿宋_GB2312" w:eastAsia="仿宋_GB2312" w:cs="仿宋_GB2312"/>
                <w:szCs w:val="21"/>
              </w:rPr>
              <w:t>2</w:t>
            </w:r>
            <w:bookmarkEnd w:id="170"/>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横沟桥镇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袁铺村7组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袁铺村7组处理站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71" w:name="_Toc8831"/>
            <w:r>
              <w:rPr>
                <w:rFonts w:hint="eastAsia" w:ascii="仿宋_GB2312" w:hAnsi="仿宋_GB2312" w:eastAsia="仿宋_GB2312" w:cs="仿宋_GB2312"/>
                <w:szCs w:val="21"/>
              </w:rPr>
              <w:t>3</w:t>
            </w:r>
            <w:bookmarkEnd w:id="171"/>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横沟桥镇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袁铺村12组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袁铺村12组处理站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72" w:name="_Toc8473"/>
            <w:r>
              <w:rPr>
                <w:rFonts w:hint="eastAsia" w:ascii="仿宋_GB2312" w:hAnsi="仿宋_GB2312" w:eastAsia="仿宋_GB2312" w:cs="仿宋_GB2312"/>
                <w:szCs w:val="21"/>
              </w:rPr>
              <w:t>4</w:t>
            </w:r>
            <w:bookmarkEnd w:id="172"/>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横沟桥镇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袁铺村17组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袁铺村17组处理站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73" w:name="_Toc8393"/>
            <w:r>
              <w:rPr>
                <w:rFonts w:hint="eastAsia" w:ascii="仿宋_GB2312" w:hAnsi="仿宋_GB2312" w:eastAsia="仿宋_GB2312" w:cs="仿宋_GB2312"/>
                <w:szCs w:val="21"/>
              </w:rPr>
              <w:t>5</w:t>
            </w:r>
            <w:bookmarkEnd w:id="173"/>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横沟桥镇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孙田村4、5组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孙田村4、5组处理站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74" w:name="_Toc24109"/>
            <w:r>
              <w:rPr>
                <w:rFonts w:hint="eastAsia" w:ascii="仿宋_GB2312" w:hAnsi="仿宋_GB2312" w:eastAsia="仿宋_GB2312" w:cs="仿宋_GB2312"/>
                <w:szCs w:val="21"/>
              </w:rPr>
              <w:t>6</w:t>
            </w:r>
            <w:bookmarkEnd w:id="174"/>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横沟桥镇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凉亭垴村1组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凉亭垴村1组处理站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75" w:name="_Toc9175"/>
            <w:r>
              <w:rPr>
                <w:rFonts w:hint="eastAsia" w:ascii="仿宋_GB2312" w:hAnsi="仿宋_GB2312" w:eastAsia="仿宋_GB2312" w:cs="仿宋_GB2312"/>
                <w:szCs w:val="21"/>
              </w:rPr>
              <w:t>7</w:t>
            </w:r>
            <w:bookmarkEnd w:id="175"/>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横沟桥镇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凉亭垴村4组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凉亭垴村4组处理站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76" w:name="_Toc32710"/>
            <w:r>
              <w:rPr>
                <w:rFonts w:hint="eastAsia" w:ascii="仿宋_GB2312" w:hAnsi="仿宋_GB2312" w:eastAsia="仿宋_GB2312" w:cs="仿宋_GB2312"/>
                <w:szCs w:val="21"/>
              </w:rPr>
              <w:t>8</w:t>
            </w:r>
            <w:bookmarkEnd w:id="176"/>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横沟桥镇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长岭村1、2组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长岭村1、2组处理站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77" w:name="_Toc12775"/>
            <w:r>
              <w:rPr>
                <w:rFonts w:hint="eastAsia" w:ascii="仿宋_GB2312" w:hAnsi="仿宋_GB2312" w:eastAsia="仿宋_GB2312" w:cs="仿宋_GB2312"/>
                <w:szCs w:val="21"/>
              </w:rPr>
              <w:t>9</w:t>
            </w:r>
            <w:bookmarkEnd w:id="177"/>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横沟桥镇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鹿过村10、11、12组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鹿过村10、11、12组处理站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78" w:name="_Toc9130"/>
            <w:r>
              <w:rPr>
                <w:rFonts w:hint="eastAsia" w:ascii="仿宋_GB2312" w:hAnsi="仿宋_GB2312" w:eastAsia="仿宋_GB2312" w:cs="仿宋_GB2312"/>
                <w:szCs w:val="21"/>
              </w:rPr>
              <w:t>10</w:t>
            </w:r>
            <w:bookmarkEnd w:id="178"/>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双溪桥镇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三桥村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三桥村一组污水处理站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79" w:name="_Toc26653"/>
            <w:r>
              <w:rPr>
                <w:rFonts w:hint="eastAsia" w:ascii="仿宋_GB2312" w:hAnsi="仿宋_GB2312" w:eastAsia="仿宋_GB2312" w:cs="仿宋_GB2312"/>
                <w:szCs w:val="21"/>
              </w:rPr>
              <w:t>11</w:t>
            </w:r>
            <w:bookmarkEnd w:id="179"/>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大幕乡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东源村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东源村10、11组人工湿地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80" w:name="_Toc30463"/>
            <w:r>
              <w:rPr>
                <w:rFonts w:hint="eastAsia" w:ascii="仿宋_GB2312" w:hAnsi="仿宋_GB2312" w:eastAsia="仿宋_GB2312" w:cs="仿宋_GB2312"/>
                <w:szCs w:val="21"/>
              </w:rPr>
              <w:t>12</w:t>
            </w:r>
            <w:bookmarkEnd w:id="180"/>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高桥镇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白水村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白水村3、4、8、9组污水处理站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81" w:name="_Toc31058"/>
            <w:r>
              <w:rPr>
                <w:rFonts w:hint="eastAsia" w:ascii="仿宋_GB2312" w:hAnsi="仿宋_GB2312" w:eastAsia="仿宋_GB2312" w:cs="仿宋_GB2312"/>
                <w:szCs w:val="21"/>
              </w:rPr>
              <w:t>13</w:t>
            </w:r>
            <w:bookmarkEnd w:id="181"/>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汀泗桥镇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洪口村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洪口村熊家湾污水处理站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82" w:name="_Toc23137"/>
            <w:r>
              <w:rPr>
                <w:rFonts w:hint="eastAsia" w:ascii="仿宋_GB2312" w:hAnsi="仿宋_GB2312" w:eastAsia="仿宋_GB2312" w:cs="仿宋_GB2312"/>
                <w:szCs w:val="21"/>
              </w:rPr>
              <w:t>14</w:t>
            </w:r>
            <w:bookmarkEnd w:id="182"/>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马桥镇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曾铺村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曾铺村14组污水处理站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83" w:name="_Toc24655"/>
            <w:r>
              <w:rPr>
                <w:rFonts w:hint="eastAsia" w:ascii="仿宋_GB2312" w:hAnsi="仿宋_GB2312" w:eastAsia="仿宋_GB2312" w:cs="仿宋_GB2312"/>
                <w:szCs w:val="21"/>
              </w:rPr>
              <w:t>15</w:t>
            </w:r>
            <w:bookmarkEnd w:id="183"/>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桂花镇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刘家桥村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刘家桥村7组污水处理站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84" w:name="_Toc28577"/>
            <w:r>
              <w:rPr>
                <w:rFonts w:hint="eastAsia" w:ascii="仿宋_GB2312" w:hAnsi="仿宋_GB2312" w:eastAsia="仿宋_GB2312" w:cs="仿宋_GB2312"/>
                <w:szCs w:val="21"/>
              </w:rPr>
              <w:t>16</w:t>
            </w:r>
            <w:bookmarkEnd w:id="184"/>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桂花镇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万寿桥村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万寿桥村12组污水处理站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85" w:name="_Toc18699"/>
            <w:r>
              <w:rPr>
                <w:rFonts w:hint="eastAsia" w:ascii="仿宋_GB2312" w:hAnsi="仿宋_GB2312" w:eastAsia="仿宋_GB2312" w:cs="仿宋_GB2312"/>
                <w:szCs w:val="21"/>
              </w:rPr>
              <w:t>17</w:t>
            </w:r>
            <w:bookmarkEnd w:id="185"/>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桂花镇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万寿桥村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万寿桥村5组污水处理站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86" w:name="_Toc9885"/>
            <w:r>
              <w:rPr>
                <w:rFonts w:hint="eastAsia" w:ascii="仿宋_GB2312" w:hAnsi="仿宋_GB2312" w:eastAsia="仿宋_GB2312" w:cs="仿宋_GB2312"/>
                <w:szCs w:val="21"/>
              </w:rPr>
              <w:t>18</w:t>
            </w:r>
            <w:bookmarkEnd w:id="186"/>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桂花镇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苏家坊村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苏家坊村5、6组污水处理站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87" w:name="_Toc4257"/>
            <w:r>
              <w:rPr>
                <w:rFonts w:hint="eastAsia" w:ascii="仿宋_GB2312" w:hAnsi="仿宋_GB2312" w:eastAsia="仿宋_GB2312" w:cs="仿宋_GB2312"/>
                <w:szCs w:val="21"/>
              </w:rPr>
              <w:t>19</w:t>
            </w:r>
            <w:bookmarkEnd w:id="187"/>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咸安区</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桂花镇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白沙村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白沙村6组污水处理站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88" w:name="_Toc18906"/>
            <w:r>
              <w:rPr>
                <w:rFonts w:hint="eastAsia" w:ascii="仿宋_GB2312" w:hAnsi="仿宋_GB2312" w:eastAsia="仿宋_GB2312" w:cs="仿宋_GB2312"/>
                <w:szCs w:val="21"/>
              </w:rPr>
              <w:t>20</w:t>
            </w:r>
            <w:bookmarkEnd w:id="188"/>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赤壁市</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茶庵岭镇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温泉村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茶庵岭镇温泉村太阳能微动力处理站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89" w:name="_Toc31249"/>
            <w:r>
              <w:rPr>
                <w:rFonts w:hint="eastAsia" w:ascii="仿宋_GB2312" w:hAnsi="仿宋_GB2312" w:eastAsia="仿宋_GB2312" w:cs="仿宋_GB2312"/>
                <w:szCs w:val="21"/>
              </w:rPr>
              <w:t>21</w:t>
            </w:r>
            <w:bookmarkEnd w:id="189"/>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赤壁市</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茶庵岭镇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云台山村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茶庵岭镇云台山村太阳能微动力处理站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90" w:name="_Toc20664"/>
            <w:r>
              <w:rPr>
                <w:rFonts w:hint="eastAsia" w:ascii="仿宋_GB2312" w:hAnsi="仿宋_GB2312" w:eastAsia="仿宋_GB2312" w:cs="仿宋_GB2312"/>
                <w:szCs w:val="21"/>
              </w:rPr>
              <w:t>22</w:t>
            </w:r>
            <w:bookmarkEnd w:id="190"/>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赤壁市</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柳山湖镇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易家堤村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柳山湖镇易家堤村太阳能微动力处理站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91" w:name="_Toc26132"/>
            <w:r>
              <w:rPr>
                <w:rFonts w:hint="eastAsia" w:ascii="仿宋_GB2312" w:hAnsi="仿宋_GB2312" w:eastAsia="仿宋_GB2312" w:cs="仿宋_GB2312"/>
                <w:szCs w:val="21"/>
              </w:rPr>
              <w:t>23</w:t>
            </w:r>
            <w:bookmarkEnd w:id="191"/>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赤壁市</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柳山湖镇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腊里山村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柳山湖镇腊里山村太阳能微动力处理站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92" w:name="_Toc11385"/>
            <w:r>
              <w:rPr>
                <w:rFonts w:hint="eastAsia" w:ascii="仿宋_GB2312" w:hAnsi="仿宋_GB2312" w:eastAsia="仿宋_GB2312" w:cs="仿宋_GB2312"/>
                <w:szCs w:val="21"/>
              </w:rPr>
              <w:t>24</w:t>
            </w:r>
            <w:bookmarkEnd w:id="192"/>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赤壁市</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官塘驿镇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西湾村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官塘驿镇西湾村太阳能微动力处理站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93" w:name="_Toc3724"/>
            <w:r>
              <w:rPr>
                <w:rFonts w:hint="eastAsia" w:ascii="仿宋_GB2312" w:hAnsi="仿宋_GB2312" w:eastAsia="仿宋_GB2312" w:cs="仿宋_GB2312"/>
                <w:szCs w:val="21"/>
              </w:rPr>
              <w:t>25</w:t>
            </w:r>
            <w:bookmarkEnd w:id="193"/>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赤壁市</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余家桥乡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冷家湖村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余家桥乡冷家湖村太阳能微动力处理站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94" w:name="_Toc11904"/>
            <w:r>
              <w:rPr>
                <w:rFonts w:hint="eastAsia" w:ascii="仿宋_GB2312" w:hAnsi="仿宋_GB2312" w:eastAsia="仿宋_GB2312" w:cs="仿宋_GB2312"/>
                <w:szCs w:val="21"/>
              </w:rPr>
              <w:t>26</w:t>
            </w:r>
            <w:bookmarkEnd w:id="194"/>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赤壁市</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柳山湖镇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宝塔山村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柳山湖镇宝塔山村太阳能微动力处理站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95" w:name="_Toc2634"/>
            <w:r>
              <w:rPr>
                <w:rFonts w:hint="eastAsia" w:ascii="仿宋_GB2312" w:hAnsi="仿宋_GB2312" w:eastAsia="仿宋_GB2312" w:cs="仿宋_GB2312"/>
                <w:szCs w:val="21"/>
              </w:rPr>
              <w:t>27</w:t>
            </w:r>
            <w:bookmarkEnd w:id="195"/>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赤壁市</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柳山湖镇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吴家门村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柳山湖镇吴家门村太阳能微动力处理站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96" w:name="_Toc22888"/>
            <w:r>
              <w:rPr>
                <w:rFonts w:hint="eastAsia" w:ascii="仿宋_GB2312" w:hAnsi="仿宋_GB2312" w:eastAsia="仿宋_GB2312" w:cs="仿宋_GB2312"/>
                <w:szCs w:val="21"/>
              </w:rPr>
              <w:t>28</w:t>
            </w:r>
            <w:bookmarkEnd w:id="196"/>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赤壁市</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官塘驿镇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双坵村9组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双丘村9组污水处理站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97" w:name="_Toc17483"/>
            <w:r>
              <w:rPr>
                <w:rFonts w:hint="eastAsia" w:ascii="仿宋_GB2312" w:hAnsi="仿宋_GB2312" w:eastAsia="仿宋_GB2312" w:cs="仿宋_GB2312"/>
                <w:szCs w:val="21"/>
              </w:rPr>
              <w:t>29</w:t>
            </w:r>
            <w:bookmarkEnd w:id="197"/>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嘉鱼县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簰洲湾镇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花口村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花口村2组  四水共治设施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98" w:name="_Toc15327"/>
            <w:r>
              <w:rPr>
                <w:rFonts w:hint="eastAsia" w:ascii="仿宋_GB2312" w:hAnsi="仿宋_GB2312" w:eastAsia="仿宋_GB2312" w:cs="仿宋_GB2312"/>
                <w:szCs w:val="21"/>
              </w:rPr>
              <w:t>30</w:t>
            </w:r>
            <w:bookmarkEnd w:id="198"/>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嘉鱼县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潘家湾镇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四邑村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四邑村5组  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199" w:name="_Toc10649"/>
            <w:r>
              <w:rPr>
                <w:rFonts w:hint="eastAsia" w:ascii="仿宋_GB2312" w:hAnsi="仿宋_GB2312" w:eastAsia="仿宋_GB2312" w:cs="仿宋_GB2312"/>
                <w:szCs w:val="21"/>
              </w:rPr>
              <w:t>31</w:t>
            </w:r>
            <w:bookmarkEnd w:id="199"/>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嘉鱼县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渡普镇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东湖村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东湖村6组   四水共治设施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00" w:name="_Toc11126"/>
            <w:r>
              <w:rPr>
                <w:rFonts w:hint="eastAsia" w:ascii="仿宋_GB2312" w:hAnsi="仿宋_GB2312" w:eastAsia="仿宋_GB2312" w:cs="仿宋_GB2312"/>
                <w:szCs w:val="21"/>
              </w:rPr>
              <w:t>32</w:t>
            </w:r>
            <w:bookmarkEnd w:id="200"/>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嘉鱼县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渡普镇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烟墩社区</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烟墩村4组  微动力污水处理设施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01" w:name="_Toc11120"/>
            <w:r>
              <w:rPr>
                <w:rFonts w:hint="eastAsia" w:ascii="仿宋_GB2312" w:hAnsi="仿宋_GB2312" w:eastAsia="仿宋_GB2312" w:cs="仿宋_GB2312"/>
                <w:szCs w:val="21"/>
              </w:rPr>
              <w:t>33</w:t>
            </w:r>
            <w:bookmarkEnd w:id="201"/>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嘉鱼县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新街镇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港东村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港东村5组  四水共治设施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02" w:name="_Toc9916"/>
            <w:r>
              <w:rPr>
                <w:rFonts w:hint="eastAsia" w:ascii="仿宋_GB2312" w:hAnsi="仿宋_GB2312" w:eastAsia="仿宋_GB2312" w:cs="仿宋_GB2312"/>
                <w:szCs w:val="21"/>
              </w:rPr>
              <w:t>34</w:t>
            </w:r>
            <w:bookmarkEnd w:id="202"/>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嘉鱼县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簰洲湾镇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花口村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花口村3组  集中连片户厕改造项目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03" w:name="_Toc24414"/>
            <w:r>
              <w:rPr>
                <w:rFonts w:hint="eastAsia" w:ascii="仿宋_GB2312" w:hAnsi="仿宋_GB2312" w:eastAsia="仿宋_GB2312" w:cs="仿宋_GB2312"/>
                <w:szCs w:val="21"/>
              </w:rPr>
              <w:t>35</w:t>
            </w:r>
            <w:bookmarkEnd w:id="203"/>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嘉鱼县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新街镇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马鞍山村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马鞍山村4组集中连片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04" w:name="_Toc8538"/>
            <w:r>
              <w:rPr>
                <w:rFonts w:hint="eastAsia" w:ascii="仿宋_GB2312" w:hAnsi="仿宋_GB2312" w:eastAsia="仿宋_GB2312" w:cs="仿宋_GB2312"/>
                <w:szCs w:val="21"/>
              </w:rPr>
              <w:t>36</w:t>
            </w:r>
            <w:bookmarkEnd w:id="204"/>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天城镇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茅井村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茅井村生活污水处理站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05" w:name="_Toc5482"/>
            <w:r>
              <w:rPr>
                <w:rFonts w:hint="eastAsia" w:ascii="仿宋_GB2312" w:hAnsi="仿宋_GB2312" w:eastAsia="仿宋_GB2312" w:cs="仿宋_GB2312"/>
                <w:szCs w:val="21"/>
              </w:rPr>
              <w:t>37</w:t>
            </w:r>
            <w:bookmarkEnd w:id="205"/>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白霓镇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浪口村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浪口村生活污水处理站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06" w:name="_Toc21020"/>
            <w:r>
              <w:rPr>
                <w:rFonts w:hint="eastAsia" w:ascii="仿宋_GB2312" w:hAnsi="仿宋_GB2312" w:eastAsia="仿宋_GB2312" w:cs="仿宋_GB2312"/>
                <w:szCs w:val="21"/>
              </w:rPr>
              <w:t>38</w:t>
            </w:r>
            <w:bookmarkEnd w:id="206"/>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金塘镇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畈上村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畈上村生活污水处理站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07" w:name="_Toc15508"/>
            <w:r>
              <w:rPr>
                <w:rFonts w:hint="eastAsia" w:ascii="仿宋_GB2312" w:hAnsi="仿宋_GB2312" w:eastAsia="仿宋_GB2312" w:cs="仿宋_GB2312"/>
                <w:szCs w:val="21"/>
              </w:rPr>
              <w:t>39</w:t>
            </w:r>
            <w:bookmarkEnd w:id="207"/>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白霓镇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回头岭村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回头岭生活村污水处理站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08" w:name="_Toc6645"/>
            <w:r>
              <w:rPr>
                <w:rFonts w:hint="eastAsia" w:ascii="仿宋_GB2312" w:hAnsi="仿宋_GB2312" w:eastAsia="仿宋_GB2312" w:cs="仿宋_GB2312"/>
                <w:szCs w:val="21"/>
              </w:rPr>
              <w:t>40</w:t>
            </w:r>
            <w:bookmarkEnd w:id="208"/>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肖岭乡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白马村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白马村生活污水处理站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09" w:name="_Toc28708"/>
            <w:r>
              <w:rPr>
                <w:rFonts w:hint="eastAsia" w:ascii="仿宋_GB2312" w:hAnsi="仿宋_GB2312" w:eastAsia="仿宋_GB2312" w:cs="仿宋_GB2312"/>
                <w:szCs w:val="21"/>
              </w:rPr>
              <w:t>41</w:t>
            </w:r>
            <w:bookmarkEnd w:id="209"/>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沙坪镇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黄茆村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黄茆村生活污水处理站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10" w:name="_Toc5261"/>
            <w:r>
              <w:rPr>
                <w:rFonts w:hint="eastAsia" w:ascii="仿宋_GB2312" w:hAnsi="仿宋_GB2312" w:eastAsia="仿宋_GB2312" w:cs="仿宋_GB2312"/>
                <w:szCs w:val="21"/>
              </w:rPr>
              <w:t>42</w:t>
            </w:r>
            <w:bookmarkEnd w:id="210"/>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沙坪镇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进口村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进口村生活污水处理站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11" w:name="_Toc7333"/>
            <w:r>
              <w:rPr>
                <w:rFonts w:hint="eastAsia" w:ascii="仿宋_GB2312" w:hAnsi="仿宋_GB2312" w:eastAsia="仿宋_GB2312" w:cs="仿宋_GB2312"/>
                <w:szCs w:val="21"/>
              </w:rPr>
              <w:t>43</w:t>
            </w:r>
            <w:bookmarkEnd w:id="211"/>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石城镇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西庄村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西庄村生活污水处理站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12" w:name="_Toc9688"/>
            <w:r>
              <w:rPr>
                <w:rFonts w:hint="eastAsia" w:ascii="仿宋_GB2312" w:hAnsi="仿宋_GB2312" w:eastAsia="仿宋_GB2312" w:cs="仿宋_GB2312"/>
                <w:szCs w:val="21"/>
              </w:rPr>
              <w:t>44</w:t>
            </w:r>
            <w:bookmarkEnd w:id="212"/>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白霓镇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桥头村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桥头村生活污水处理站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13" w:name="_Toc24956"/>
            <w:r>
              <w:rPr>
                <w:rFonts w:hint="eastAsia" w:ascii="仿宋_GB2312" w:hAnsi="仿宋_GB2312" w:eastAsia="仿宋_GB2312" w:cs="仿宋_GB2312"/>
                <w:szCs w:val="21"/>
              </w:rPr>
              <w:t>45</w:t>
            </w:r>
            <w:bookmarkEnd w:id="213"/>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白霓镇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谭家村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谭家村生活污水处理站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14" w:name="_Toc13764"/>
            <w:r>
              <w:rPr>
                <w:rFonts w:hint="eastAsia" w:ascii="仿宋_GB2312" w:hAnsi="仿宋_GB2312" w:eastAsia="仿宋_GB2312" w:cs="仿宋_GB2312"/>
                <w:szCs w:val="21"/>
              </w:rPr>
              <w:t>46</w:t>
            </w:r>
            <w:bookmarkEnd w:id="214"/>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铜钟乡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佛岭村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佛岭村生活污水处理站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15" w:name="_Toc15487"/>
            <w:r>
              <w:rPr>
                <w:rFonts w:hint="eastAsia" w:ascii="仿宋_GB2312" w:hAnsi="仿宋_GB2312" w:eastAsia="仿宋_GB2312" w:cs="仿宋_GB2312"/>
                <w:szCs w:val="21"/>
              </w:rPr>
              <w:t>47</w:t>
            </w:r>
            <w:bookmarkEnd w:id="215"/>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铜钟乡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铜钟村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铜钟村生活污水处理站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16" w:name="_Toc4614"/>
            <w:r>
              <w:rPr>
                <w:rFonts w:hint="eastAsia" w:ascii="仿宋_GB2312" w:hAnsi="仿宋_GB2312" w:eastAsia="仿宋_GB2312" w:cs="仿宋_GB2312"/>
                <w:szCs w:val="21"/>
              </w:rPr>
              <w:t>48</w:t>
            </w:r>
            <w:bookmarkEnd w:id="216"/>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港口乡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塘口村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塘口村生活污水处理站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17" w:name="_Toc14071"/>
            <w:r>
              <w:rPr>
                <w:rFonts w:hint="eastAsia" w:ascii="仿宋_GB2312" w:hAnsi="仿宋_GB2312" w:eastAsia="仿宋_GB2312" w:cs="仿宋_GB2312"/>
                <w:szCs w:val="21"/>
              </w:rPr>
              <w:t>49</w:t>
            </w:r>
            <w:bookmarkEnd w:id="217"/>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金塘镇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黄洋湾村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黄洋湾村生活污水处理站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18" w:name="_Toc28549"/>
            <w:r>
              <w:rPr>
                <w:rFonts w:hint="eastAsia" w:ascii="仿宋_GB2312" w:hAnsi="仿宋_GB2312" w:eastAsia="仿宋_GB2312" w:cs="仿宋_GB2312"/>
                <w:szCs w:val="21"/>
              </w:rPr>
              <w:t>50</w:t>
            </w:r>
            <w:bookmarkEnd w:id="218"/>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青山镇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莫名山安置小区</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莫名山安置小区生活污水处理站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19" w:name="_Toc18411"/>
            <w:r>
              <w:rPr>
                <w:rFonts w:hint="eastAsia" w:ascii="仿宋_GB2312" w:hAnsi="仿宋_GB2312" w:eastAsia="仿宋_GB2312" w:cs="仿宋_GB2312"/>
                <w:szCs w:val="21"/>
              </w:rPr>
              <w:t>51</w:t>
            </w:r>
            <w:bookmarkEnd w:id="219"/>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崇阳县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白霓镇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龙泉村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龙泉村生活污水处理站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20" w:name="_Toc4091"/>
            <w:r>
              <w:rPr>
                <w:rFonts w:hint="eastAsia" w:ascii="仿宋_GB2312" w:hAnsi="仿宋_GB2312" w:eastAsia="仿宋_GB2312" w:cs="仿宋_GB2312"/>
                <w:szCs w:val="21"/>
              </w:rPr>
              <w:t>52</w:t>
            </w:r>
            <w:bookmarkEnd w:id="220"/>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通城县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麦市镇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冷塅村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冷塅村一、二、十二组污水处理站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21" w:name="_Toc32179"/>
            <w:r>
              <w:rPr>
                <w:rFonts w:hint="eastAsia" w:ascii="仿宋_GB2312" w:hAnsi="仿宋_GB2312" w:eastAsia="仿宋_GB2312" w:cs="仿宋_GB2312"/>
                <w:szCs w:val="21"/>
              </w:rPr>
              <w:t>53</w:t>
            </w:r>
            <w:bookmarkEnd w:id="221"/>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通城县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麦市镇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天门村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天门村污水处理站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22" w:name="_Toc30147"/>
            <w:r>
              <w:rPr>
                <w:rFonts w:hint="eastAsia" w:ascii="仿宋_GB2312" w:hAnsi="仿宋_GB2312" w:eastAsia="仿宋_GB2312" w:cs="仿宋_GB2312"/>
                <w:szCs w:val="21"/>
              </w:rPr>
              <w:t>54</w:t>
            </w:r>
            <w:bookmarkEnd w:id="222"/>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通城县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大坪乡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内冲村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内冲村污水处理站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23" w:name="_Toc20762"/>
            <w:r>
              <w:rPr>
                <w:rFonts w:hint="eastAsia" w:ascii="仿宋_GB2312" w:hAnsi="仿宋_GB2312" w:eastAsia="仿宋_GB2312" w:cs="仿宋_GB2312"/>
                <w:szCs w:val="21"/>
              </w:rPr>
              <w:t>55</w:t>
            </w:r>
            <w:bookmarkEnd w:id="223"/>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通城县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马港镇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潭下村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潭下村一、二、三组污水处理站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24" w:name="_Toc7917"/>
            <w:r>
              <w:rPr>
                <w:rFonts w:hint="eastAsia" w:ascii="仿宋_GB2312" w:hAnsi="仿宋_GB2312" w:eastAsia="仿宋_GB2312" w:cs="仿宋_GB2312"/>
                <w:szCs w:val="21"/>
              </w:rPr>
              <w:t>56</w:t>
            </w:r>
            <w:bookmarkEnd w:id="224"/>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通城县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马港镇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易段村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易段村七、八、九、十一组污水处理站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25" w:name="_Toc22173"/>
            <w:r>
              <w:rPr>
                <w:rFonts w:hint="eastAsia" w:ascii="仿宋_GB2312" w:hAnsi="仿宋_GB2312" w:eastAsia="仿宋_GB2312" w:cs="仿宋_GB2312"/>
                <w:szCs w:val="21"/>
              </w:rPr>
              <w:t>57</w:t>
            </w:r>
            <w:bookmarkEnd w:id="225"/>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通城县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五里镇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左港村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左港村七组污水处理站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26" w:name="_Toc18953"/>
            <w:r>
              <w:rPr>
                <w:rFonts w:hint="eastAsia" w:ascii="仿宋_GB2312" w:hAnsi="仿宋_GB2312" w:eastAsia="仿宋_GB2312" w:cs="仿宋_GB2312"/>
                <w:szCs w:val="21"/>
              </w:rPr>
              <w:t>58</w:t>
            </w:r>
            <w:bookmarkEnd w:id="226"/>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通羊</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湄港</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湄港村5组人工湿地型污水处理站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27" w:name="_Toc26241"/>
            <w:r>
              <w:rPr>
                <w:rFonts w:hint="eastAsia" w:ascii="仿宋_GB2312" w:hAnsi="仿宋_GB2312" w:eastAsia="仿宋_GB2312" w:cs="仿宋_GB2312"/>
                <w:szCs w:val="21"/>
              </w:rPr>
              <w:t>59</w:t>
            </w:r>
            <w:bookmarkEnd w:id="227"/>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通羊</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湄港</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湄港村8组人工湿地型污水处理站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28" w:name="_Toc6737"/>
            <w:r>
              <w:rPr>
                <w:rFonts w:hint="eastAsia" w:ascii="仿宋_GB2312" w:hAnsi="仿宋_GB2312" w:eastAsia="仿宋_GB2312" w:cs="仿宋_GB2312"/>
                <w:szCs w:val="21"/>
              </w:rPr>
              <w:t>60</w:t>
            </w:r>
            <w:bookmarkEnd w:id="228"/>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通羊</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赤诚</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赤城村7组人工快渗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29" w:name="_Toc23267"/>
            <w:r>
              <w:rPr>
                <w:rFonts w:hint="eastAsia" w:ascii="仿宋_GB2312" w:hAnsi="仿宋_GB2312" w:eastAsia="仿宋_GB2312" w:cs="仿宋_GB2312"/>
                <w:szCs w:val="21"/>
              </w:rPr>
              <w:t>61</w:t>
            </w:r>
            <w:bookmarkEnd w:id="229"/>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通羊</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李渡</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李渡村3组人工湿地型污水处理站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30" w:name="_Toc24088"/>
            <w:r>
              <w:rPr>
                <w:rFonts w:hint="eastAsia" w:ascii="仿宋_GB2312" w:hAnsi="仿宋_GB2312" w:eastAsia="仿宋_GB2312" w:cs="仿宋_GB2312"/>
                <w:szCs w:val="21"/>
              </w:rPr>
              <w:t>62</w:t>
            </w:r>
            <w:bookmarkEnd w:id="230"/>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通羊</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石宕</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石宕村5组人工湿地型污水处理站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31" w:name="_Toc4513"/>
            <w:r>
              <w:rPr>
                <w:rFonts w:hint="eastAsia" w:ascii="仿宋_GB2312" w:hAnsi="仿宋_GB2312" w:eastAsia="仿宋_GB2312" w:cs="仿宋_GB2312"/>
                <w:szCs w:val="21"/>
              </w:rPr>
              <w:t>63</w:t>
            </w:r>
            <w:bookmarkEnd w:id="231"/>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南林桥</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石垅</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石垅村2组人工湿地型污水处理站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32" w:name="_Toc9389"/>
            <w:r>
              <w:rPr>
                <w:rFonts w:hint="eastAsia" w:ascii="仿宋_GB2312" w:hAnsi="仿宋_GB2312" w:eastAsia="仿宋_GB2312" w:cs="仿宋_GB2312"/>
                <w:szCs w:val="21"/>
              </w:rPr>
              <w:t>64</w:t>
            </w:r>
            <w:bookmarkEnd w:id="232"/>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南林桥</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石门</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石门村4组人工湿地型污水处理站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33" w:name="_Toc18898"/>
            <w:r>
              <w:rPr>
                <w:rFonts w:hint="eastAsia" w:ascii="仿宋_GB2312" w:hAnsi="仿宋_GB2312" w:eastAsia="仿宋_GB2312" w:cs="仿宋_GB2312"/>
                <w:szCs w:val="21"/>
              </w:rPr>
              <w:t>65</w:t>
            </w:r>
            <w:bookmarkEnd w:id="233"/>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大路</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上仇</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上仇村1组人工湿地型污水处理站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34" w:name="_Toc5053"/>
            <w:r>
              <w:rPr>
                <w:rFonts w:hint="eastAsia" w:ascii="仿宋_GB2312" w:hAnsi="仿宋_GB2312" w:eastAsia="仿宋_GB2312" w:cs="仿宋_GB2312"/>
                <w:szCs w:val="21"/>
              </w:rPr>
              <w:t>66</w:t>
            </w:r>
            <w:bookmarkEnd w:id="234"/>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大路</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新桥冯</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新桥冯村4组人工湿地型污水处理站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35" w:name="_Toc19805"/>
            <w:r>
              <w:rPr>
                <w:rFonts w:hint="eastAsia" w:ascii="仿宋_GB2312" w:hAnsi="仿宋_GB2312" w:eastAsia="仿宋_GB2312" w:cs="仿宋_GB2312"/>
                <w:szCs w:val="21"/>
              </w:rPr>
              <w:t>67</w:t>
            </w:r>
            <w:bookmarkEnd w:id="235"/>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大路</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吴田</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吴田村8组人工快渗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36" w:name="_Toc20488"/>
            <w:r>
              <w:rPr>
                <w:rFonts w:hint="eastAsia" w:ascii="仿宋_GB2312" w:hAnsi="仿宋_GB2312" w:eastAsia="仿宋_GB2312" w:cs="仿宋_GB2312"/>
                <w:szCs w:val="21"/>
              </w:rPr>
              <w:t>68</w:t>
            </w:r>
            <w:bookmarkEnd w:id="236"/>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大路</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石壁下</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石壁下村4组人工湿地型污水处理站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37" w:name="_Toc6230"/>
            <w:r>
              <w:rPr>
                <w:rFonts w:hint="eastAsia" w:ascii="仿宋_GB2312" w:hAnsi="仿宋_GB2312" w:eastAsia="仿宋_GB2312" w:cs="仿宋_GB2312"/>
                <w:szCs w:val="21"/>
              </w:rPr>
              <w:t>69</w:t>
            </w:r>
            <w:bookmarkEnd w:id="237"/>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大路</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下朗</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下朗村1组人工湿地型污水处理站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38" w:name="_Toc29101"/>
            <w:r>
              <w:rPr>
                <w:rFonts w:hint="eastAsia" w:ascii="仿宋_GB2312" w:hAnsi="仿宋_GB2312" w:eastAsia="仿宋_GB2312" w:cs="仿宋_GB2312"/>
                <w:szCs w:val="21"/>
              </w:rPr>
              <w:t>70</w:t>
            </w:r>
            <w:bookmarkEnd w:id="238"/>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大路</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东坑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东坑村7组人工湿地型污水处理站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39" w:name="_Toc9552"/>
            <w:r>
              <w:rPr>
                <w:rFonts w:hint="eastAsia" w:ascii="仿宋_GB2312" w:hAnsi="仿宋_GB2312" w:eastAsia="仿宋_GB2312" w:cs="仿宋_GB2312"/>
                <w:szCs w:val="21"/>
              </w:rPr>
              <w:t>71</w:t>
            </w:r>
            <w:bookmarkEnd w:id="239"/>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黄沙铺</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源头</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源头村2组人工湿地型污水处理站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40" w:name="_Toc2082"/>
            <w:r>
              <w:rPr>
                <w:rFonts w:hint="eastAsia" w:ascii="仿宋_GB2312" w:hAnsi="仿宋_GB2312" w:eastAsia="仿宋_GB2312" w:cs="仿宋_GB2312"/>
                <w:szCs w:val="21"/>
              </w:rPr>
              <w:t>72</w:t>
            </w:r>
            <w:bookmarkEnd w:id="240"/>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黄沙铺</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西庄</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西庄村3组人工湿地型污水处理站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41" w:name="_Toc28781"/>
            <w:r>
              <w:rPr>
                <w:rFonts w:hint="eastAsia" w:ascii="仿宋_GB2312" w:hAnsi="仿宋_GB2312" w:eastAsia="仿宋_GB2312" w:cs="仿宋_GB2312"/>
                <w:szCs w:val="21"/>
              </w:rPr>
              <w:t>73</w:t>
            </w:r>
            <w:bookmarkEnd w:id="241"/>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慈口</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大竹</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大竹村2组微动力人工湿地型污水处理站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42" w:name="_Toc10102"/>
            <w:r>
              <w:rPr>
                <w:rFonts w:hint="eastAsia" w:ascii="仿宋_GB2312" w:hAnsi="仿宋_GB2312" w:eastAsia="仿宋_GB2312" w:cs="仿宋_GB2312"/>
                <w:szCs w:val="21"/>
              </w:rPr>
              <w:t>74</w:t>
            </w:r>
            <w:bookmarkEnd w:id="242"/>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大畈</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板桥</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板桥村新村微动力人工湿地型污水处理站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43" w:name="_Toc3092"/>
            <w:r>
              <w:rPr>
                <w:rFonts w:hint="eastAsia" w:ascii="仿宋_GB2312" w:hAnsi="仿宋_GB2312" w:eastAsia="仿宋_GB2312" w:cs="仿宋_GB2312"/>
                <w:szCs w:val="21"/>
              </w:rPr>
              <w:t>75</w:t>
            </w:r>
            <w:bookmarkEnd w:id="243"/>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大畈</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板桥</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板桥村9组微动力人工湿地型污水处理站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44" w:name="_Toc29885"/>
            <w:r>
              <w:rPr>
                <w:rFonts w:hint="eastAsia" w:ascii="仿宋_GB2312" w:hAnsi="仿宋_GB2312" w:eastAsia="仿宋_GB2312" w:cs="仿宋_GB2312"/>
                <w:szCs w:val="21"/>
              </w:rPr>
              <w:t>76</w:t>
            </w:r>
            <w:bookmarkEnd w:id="244"/>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大畈</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板桥</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板桥村10组人工湿地型污水处理站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45" w:name="_Toc7205"/>
            <w:r>
              <w:rPr>
                <w:rFonts w:hint="eastAsia" w:ascii="仿宋_GB2312" w:hAnsi="仿宋_GB2312" w:eastAsia="仿宋_GB2312" w:cs="仿宋_GB2312"/>
                <w:szCs w:val="21"/>
              </w:rPr>
              <w:t>77</w:t>
            </w:r>
            <w:bookmarkEnd w:id="245"/>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大畈</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隐水</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隐水村2组人工湿地型污水处理站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46" w:name="_Toc21238"/>
            <w:r>
              <w:rPr>
                <w:rFonts w:hint="eastAsia" w:ascii="仿宋_GB2312" w:hAnsi="仿宋_GB2312" w:eastAsia="仿宋_GB2312" w:cs="仿宋_GB2312"/>
                <w:szCs w:val="21"/>
              </w:rPr>
              <w:t>78</w:t>
            </w:r>
            <w:bookmarkEnd w:id="246"/>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大畈</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隐水</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隐水村6组微动力人工湿地型污水处理站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47" w:name="_Toc29656"/>
            <w:r>
              <w:rPr>
                <w:rFonts w:hint="eastAsia" w:ascii="仿宋_GB2312" w:hAnsi="仿宋_GB2312" w:eastAsia="仿宋_GB2312" w:cs="仿宋_GB2312"/>
                <w:szCs w:val="21"/>
              </w:rPr>
              <w:t>79</w:t>
            </w:r>
            <w:bookmarkEnd w:id="247"/>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大畈</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西泉</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西泉村2组人工湿地型污水处理站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48" w:name="_Toc7134"/>
            <w:r>
              <w:rPr>
                <w:rFonts w:hint="eastAsia" w:ascii="仿宋_GB2312" w:hAnsi="仿宋_GB2312" w:eastAsia="仿宋_GB2312" w:cs="仿宋_GB2312"/>
                <w:szCs w:val="21"/>
              </w:rPr>
              <w:t>80</w:t>
            </w:r>
            <w:bookmarkEnd w:id="248"/>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大畈</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高坑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高坑村4组微动力人工湿地型污水处理站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49" w:name="_Toc13243"/>
            <w:r>
              <w:rPr>
                <w:rFonts w:hint="eastAsia" w:ascii="仿宋_GB2312" w:hAnsi="仿宋_GB2312" w:eastAsia="仿宋_GB2312" w:cs="仿宋_GB2312"/>
                <w:szCs w:val="21"/>
              </w:rPr>
              <w:t>81</w:t>
            </w:r>
            <w:bookmarkEnd w:id="249"/>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大畈</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官塘</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官塘村2组人工湿地型污水处理站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50" w:name="_Toc27784"/>
            <w:r>
              <w:rPr>
                <w:rFonts w:hint="eastAsia" w:ascii="仿宋_GB2312" w:hAnsi="仿宋_GB2312" w:eastAsia="仿宋_GB2312" w:cs="仿宋_GB2312"/>
                <w:szCs w:val="21"/>
              </w:rPr>
              <w:t>82</w:t>
            </w:r>
            <w:bookmarkEnd w:id="250"/>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燕夏乡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燕夏村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燕夏村1组污水处理站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51" w:name="_Toc28769"/>
            <w:r>
              <w:rPr>
                <w:rFonts w:hint="eastAsia" w:ascii="仿宋_GB2312" w:hAnsi="仿宋_GB2312" w:eastAsia="仿宋_GB2312" w:cs="仿宋_GB2312"/>
                <w:szCs w:val="21"/>
              </w:rPr>
              <w:t>83</w:t>
            </w:r>
            <w:bookmarkEnd w:id="251"/>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燕夏乡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马桥村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马桥村2组污水处理站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52" w:name="_Toc3013"/>
            <w:r>
              <w:rPr>
                <w:rFonts w:hint="eastAsia" w:ascii="仿宋_GB2312" w:hAnsi="仿宋_GB2312" w:eastAsia="仿宋_GB2312" w:cs="仿宋_GB2312"/>
                <w:szCs w:val="21"/>
              </w:rPr>
              <w:t>84</w:t>
            </w:r>
            <w:bookmarkEnd w:id="252"/>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洪港镇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洪港村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洪港村3组污水处理站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53" w:name="_Toc28606"/>
            <w:r>
              <w:rPr>
                <w:rFonts w:hint="eastAsia" w:ascii="仿宋_GB2312" w:hAnsi="仿宋_GB2312" w:eastAsia="仿宋_GB2312" w:cs="仿宋_GB2312"/>
                <w:szCs w:val="21"/>
              </w:rPr>
              <w:t>85</w:t>
            </w:r>
            <w:bookmarkEnd w:id="253"/>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洪港镇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西坑村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西坑村3组污水处理站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54" w:name="_Toc24721"/>
            <w:r>
              <w:rPr>
                <w:rFonts w:hint="eastAsia" w:ascii="仿宋_GB2312" w:hAnsi="仿宋_GB2312" w:eastAsia="仿宋_GB2312" w:cs="仿宋_GB2312"/>
                <w:szCs w:val="21"/>
              </w:rPr>
              <w:t>86</w:t>
            </w:r>
            <w:bookmarkEnd w:id="254"/>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九宫山镇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寨头村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寨头村5组污水处理站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55" w:name="_Toc14927"/>
            <w:r>
              <w:rPr>
                <w:rFonts w:hint="eastAsia" w:ascii="仿宋_GB2312" w:hAnsi="仿宋_GB2312" w:eastAsia="仿宋_GB2312" w:cs="仿宋_GB2312"/>
                <w:szCs w:val="21"/>
              </w:rPr>
              <w:t>87</w:t>
            </w:r>
            <w:bookmarkEnd w:id="255"/>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九宫山镇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富有村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富有村10组污水处理站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56" w:name="_Toc24866"/>
            <w:r>
              <w:rPr>
                <w:rFonts w:hint="eastAsia" w:ascii="仿宋_GB2312" w:hAnsi="仿宋_GB2312" w:eastAsia="仿宋_GB2312" w:cs="仿宋_GB2312"/>
                <w:szCs w:val="21"/>
              </w:rPr>
              <w:t>88</w:t>
            </w:r>
            <w:bookmarkEnd w:id="256"/>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九宫山镇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牌楼村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牌楼村2组污水处理站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57" w:name="_Toc26226"/>
            <w:r>
              <w:rPr>
                <w:rFonts w:hint="eastAsia" w:ascii="仿宋_GB2312" w:hAnsi="仿宋_GB2312" w:eastAsia="仿宋_GB2312" w:cs="仿宋_GB2312"/>
                <w:szCs w:val="21"/>
              </w:rPr>
              <w:t>89</w:t>
            </w:r>
            <w:bookmarkEnd w:id="257"/>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九宫山镇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畈中村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畈中村5组污水处理站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58" w:name="_Toc26454"/>
            <w:r>
              <w:rPr>
                <w:rFonts w:hint="eastAsia" w:ascii="仿宋_GB2312" w:hAnsi="仿宋_GB2312" w:eastAsia="仿宋_GB2312" w:cs="仿宋_GB2312"/>
                <w:szCs w:val="21"/>
              </w:rPr>
              <w:t>90</w:t>
            </w:r>
            <w:bookmarkEnd w:id="258"/>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九管会</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李家铺村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李家铺村2组污水处理站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59" w:name="_Toc30626"/>
            <w:r>
              <w:rPr>
                <w:rFonts w:hint="eastAsia" w:ascii="仿宋_GB2312" w:hAnsi="仿宋_GB2312" w:eastAsia="仿宋_GB2312" w:cs="仿宋_GB2312"/>
                <w:szCs w:val="21"/>
              </w:rPr>
              <w:t>91</w:t>
            </w:r>
            <w:bookmarkEnd w:id="259"/>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九管会</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船埠村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船埠村1组污水处理站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60" w:name="_Toc32134"/>
            <w:r>
              <w:rPr>
                <w:rFonts w:hint="eastAsia" w:ascii="仿宋_GB2312" w:hAnsi="仿宋_GB2312" w:eastAsia="仿宋_GB2312" w:cs="仿宋_GB2312"/>
                <w:szCs w:val="21"/>
              </w:rPr>
              <w:t>92</w:t>
            </w:r>
            <w:bookmarkEnd w:id="260"/>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闯王镇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汪家畈</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汪家畈5组污水处理站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61" w:name="_Toc14451"/>
            <w:r>
              <w:rPr>
                <w:rFonts w:hint="eastAsia" w:ascii="仿宋_GB2312" w:hAnsi="仿宋_GB2312" w:eastAsia="仿宋_GB2312" w:cs="仿宋_GB2312"/>
                <w:szCs w:val="21"/>
              </w:rPr>
              <w:t>93</w:t>
            </w:r>
            <w:bookmarkEnd w:id="261"/>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闯王镇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龟墩村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龟墩村1组污水处理站1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62" w:name="_Toc3857"/>
            <w:r>
              <w:rPr>
                <w:rFonts w:hint="eastAsia" w:ascii="仿宋_GB2312" w:hAnsi="仿宋_GB2312" w:eastAsia="仿宋_GB2312" w:cs="仿宋_GB2312"/>
                <w:szCs w:val="21"/>
              </w:rPr>
              <w:t>94</w:t>
            </w:r>
            <w:bookmarkEnd w:id="262"/>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闯王镇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龟墩村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龟墩村3组污水处理站2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63" w:name="_Toc28028"/>
            <w:r>
              <w:rPr>
                <w:rFonts w:hint="eastAsia" w:ascii="仿宋_GB2312" w:hAnsi="仿宋_GB2312" w:eastAsia="仿宋_GB2312" w:cs="仿宋_GB2312"/>
                <w:szCs w:val="21"/>
              </w:rPr>
              <w:t>95</w:t>
            </w:r>
            <w:bookmarkEnd w:id="263"/>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夏铺镇</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花纹村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花纹村4组污水处理站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64" w:name="_Toc536"/>
            <w:r>
              <w:rPr>
                <w:rFonts w:hint="eastAsia" w:ascii="仿宋_GB2312" w:hAnsi="仿宋_GB2312" w:eastAsia="仿宋_GB2312" w:cs="仿宋_GB2312"/>
                <w:szCs w:val="21"/>
              </w:rPr>
              <w:t>96</w:t>
            </w:r>
            <w:bookmarkEnd w:id="264"/>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杨芳林乡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遂庄村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遂庄村2组污水处理站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pPr>
              <w:tabs>
                <w:tab w:val="left" w:pos="855"/>
                <w:tab w:val="left" w:pos="1440"/>
              </w:tabs>
              <w:spacing w:line="400" w:lineRule="exact"/>
              <w:jc w:val="center"/>
              <w:rPr>
                <w:rFonts w:ascii="仿宋_GB2312" w:hAnsi="仿宋_GB2312" w:eastAsia="仿宋_GB2312" w:cs="仿宋_GB2312"/>
                <w:szCs w:val="21"/>
              </w:rPr>
            </w:pPr>
            <w:bookmarkStart w:id="265" w:name="_Toc28826"/>
            <w:r>
              <w:rPr>
                <w:rFonts w:hint="eastAsia" w:ascii="仿宋_GB2312" w:hAnsi="仿宋_GB2312" w:eastAsia="仿宋_GB2312" w:cs="仿宋_GB2312"/>
                <w:szCs w:val="21"/>
              </w:rPr>
              <w:t>97</w:t>
            </w:r>
            <w:bookmarkEnd w:id="265"/>
          </w:p>
        </w:tc>
        <w:tc>
          <w:tcPr>
            <w:tcW w:w="627"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通山县</w:t>
            </w:r>
          </w:p>
        </w:tc>
        <w:tc>
          <w:tcPr>
            <w:tcW w:w="785"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杨芳林乡</w:t>
            </w:r>
          </w:p>
        </w:tc>
        <w:tc>
          <w:tcPr>
            <w:tcW w:w="974"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新丰村</w:t>
            </w:r>
          </w:p>
        </w:tc>
        <w:tc>
          <w:tcPr>
            <w:tcW w:w="2203" w:type="pct"/>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新丰村3组污水处理站</w:t>
            </w:r>
          </w:p>
        </w:tc>
      </w:tr>
    </w:tbl>
    <w:p>
      <w:pPr>
        <w:spacing w:line="560" w:lineRule="exact"/>
        <w:jc w:val="left"/>
        <w:rPr>
          <w:rFonts w:hint="eastAsia" w:ascii="仿宋_GB2312" w:hAnsi="仿宋_GB2312" w:eastAsia="仿宋_GB2312" w:cs="仿宋_GB2312"/>
          <w:b/>
          <w:bCs w:val="0"/>
          <w:color w:val="000000"/>
          <w:sz w:val="21"/>
          <w:szCs w:val="21"/>
          <w:lang w:eastAsia="zh-CN"/>
        </w:rPr>
      </w:pPr>
      <w:r>
        <w:rPr>
          <w:rFonts w:hint="eastAsia" w:ascii="仿宋_GB2312" w:hAnsi="仿宋_GB2312" w:eastAsia="仿宋_GB2312" w:cs="仿宋_GB2312"/>
          <w:b/>
          <w:bCs w:val="0"/>
          <w:color w:val="000000"/>
          <w:sz w:val="21"/>
          <w:szCs w:val="21"/>
          <w:lang w:eastAsia="zh-CN"/>
        </w:rPr>
        <w:t>备注：本名单后期如有调整，以调整后为准。</w:t>
      </w:r>
    </w:p>
    <w:p>
      <w:pPr>
        <w:spacing w:line="560" w:lineRule="exact"/>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2.监测项目</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必测项目：水温、pH、化学需氧量（COD</w:t>
      </w:r>
      <w:r>
        <w:rPr>
          <w:rFonts w:hint="eastAsia" w:ascii="仿宋_GB2312" w:hAnsi="仿宋_GB2312" w:eastAsia="仿宋_GB2312" w:cs="仿宋_GB2312"/>
          <w:color w:val="000000"/>
          <w:sz w:val="28"/>
          <w:szCs w:val="28"/>
          <w:vertAlign w:val="subscript"/>
        </w:rPr>
        <w:t>cr</w:t>
      </w:r>
      <w:r>
        <w:rPr>
          <w:rFonts w:hint="eastAsia" w:ascii="仿宋_GB2312" w:hAnsi="仿宋_GB2312" w:eastAsia="仿宋_GB2312" w:cs="仿宋_GB2312"/>
          <w:color w:val="000000"/>
          <w:sz w:val="28"/>
          <w:szCs w:val="28"/>
        </w:rPr>
        <w:t>）、悬浮物和氨氮。</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选测项目：五日生化需氧量（BOD</w:t>
      </w:r>
      <w:r>
        <w:rPr>
          <w:rFonts w:hint="eastAsia" w:ascii="仿宋_GB2312" w:hAnsi="仿宋_GB2312" w:eastAsia="仿宋_GB2312" w:cs="仿宋_GB2312"/>
          <w:color w:val="000000"/>
          <w:sz w:val="28"/>
          <w:szCs w:val="28"/>
          <w:vertAlign w:val="subscript"/>
        </w:rPr>
        <w:t>5</w:t>
      </w:r>
      <w:r>
        <w:rPr>
          <w:rFonts w:hint="eastAsia" w:ascii="仿宋_GB2312" w:hAnsi="仿宋_GB2312" w:eastAsia="仿宋_GB2312" w:cs="仿宋_GB2312"/>
          <w:color w:val="000000"/>
          <w:sz w:val="28"/>
          <w:szCs w:val="28"/>
        </w:rPr>
        <w:t>）、总磷、总氮、粪大肠菌群、动植物油类。</w:t>
      </w:r>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3.监测频次</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日处理能力100吨及以上的设施，每季度监测1次，全年监测4次；日处理能力100吨以下的设施每半年监测1次、全年2次。</w:t>
      </w:r>
    </w:p>
    <w:p>
      <w:pPr>
        <w:spacing w:line="560" w:lineRule="exact"/>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4.工作方式</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农村生活污水处理设施出水水质监测为地方事权，地方保障工作经费。由设施运行管理单位组织开展监测，无法确定责任主体的，由属地县级或市级人民政府的生产、建设或行业管理等相关部门作为责任主体，由其履行自行监测。各地生态环境分局按开展处理设施数量的20%开展执法监测。自行监测和执法监测数据通过国家系统报送。</w:t>
      </w:r>
    </w:p>
    <w:p>
      <w:pPr>
        <w:pStyle w:val="2"/>
        <w:spacing w:line="560" w:lineRule="exact"/>
        <w:ind w:firstLine="56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5.数据报送</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地生态环境分局汇总自行监测数据和执法监测数据，6月15日、11月15日之前将审核后通过生态农村监测业务系统报送。省监测中心站负责汇总监测数据报送总站。2023年1月31日前，省监测中心站将农村生活污水处理设施出水水质监测年度报告（纸质件和电子件）正式报送总站。</w:t>
      </w:r>
    </w:p>
    <w:p>
      <w:pPr>
        <w:spacing w:line="560" w:lineRule="exact"/>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6.质量保证与质量控制</w:t>
      </w:r>
    </w:p>
    <w:p>
      <w:pPr>
        <w:spacing w:line="560" w:lineRule="exact"/>
        <w:ind w:firstLine="560" w:firstLineChars="200"/>
        <w:rPr>
          <w:rFonts w:ascii="仿宋_GB2312" w:hAnsi="仿宋_GB2312" w:eastAsia="仿宋_GB2312" w:cs="仿宋_GB2312"/>
          <w:sz w:val="28"/>
          <w:szCs w:val="28"/>
        </w:rPr>
      </w:pPr>
      <w:bookmarkStart w:id="266" w:name="_Toc11331"/>
      <w:bookmarkStart w:id="267" w:name="_Toc62822074"/>
      <w:r>
        <w:rPr>
          <w:rFonts w:hint="eastAsia" w:ascii="仿宋_GB2312" w:hAnsi="仿宋_GB2312" w:eastAsia="仿宋_GB2312" w:cs="仿宋_GB2312"/>
          <w:sz w:val="28"/>
          <w:szCs w:val="28"/>
        </w:rPr>
        <w:t>质量保证和质量控制按照《污水监测技术规范》（HJ/T 91.1—2019）及有关要求执行。任务承担单位、各地方生态环境局、省监测中心站对监测结果进行分级审核。</w:t>
      </w:r>
      <w:bookmarkEnd w:id="266"/>
    </w:p>
    <w:p>
      <w:pPr>
        <w:pStyle w:val="4"/>
        <w:ind w:firstLine="600"/>
        <w:rPr>
          <w:sz w:val="30"/>
          <w:szCs w:val="30"/>
        </w:rPr>
      </w:pPr>
      <w:bookmarkStart w:id="268" w:name="_Toc1313"/>
      <w:r>
        <w:rPr>
          <w:rFonts w:hint="eastAsia"/>
          <w:sz w:val="30"/>
          <w:szCs w:val="30"/>
        </w:rPr>
        <w:t>（十</w:t>
      </w:r>
      <w:r>
        <w:rPr>
          <w:rFonts w:hint="eastAsia"/>
          <w:sz w:val="30"/>
          <w:szCs w:val="30"/>
          <w:lang w:eastAsia="zh-CN"/>
        </w:rPr>
        <w:t>九</w:t>
      </w:r>
      <w:r>
        <w:rPr>
          <w:rFonts w:hint="eastAsia"/>
          <w:sz w:val="30"/>
          <w:szCs w:val="30"/>
        </w:rPr>
        <w:t>）</w:t>
      </w:r>
      <w:bookmarkStart w:id="269" w:name="_Toc14842"/>
      <w:bookmarkStart w:id="270" w:name="_Toc13234"/>
      <w:bookmarkStart w:id="271" w:name="_Toc17180"/>
      <w:bookmarkStart w:id="272" w:name="_Toc14526"/>
      <w:bookmarkStart w:id="273" w:name="_Toc1934"/>
      <w:bookmarkStart w:id="274" w:name="_Toc4278"/>
      <w:bookmarkStart w:id="275" w:name="_Toc30265"/>
      <w:bookmarkStart w:id="276" w:name="_Toc12823"/>
      <w:bookmarkStart w:id="277" w:name="_Toc19548"/>
      <w:r>
        <w:rPr>
          <w:rFonts w:hint="eastAsia"/>
          <w:sz w:val="30"/>
          <w:szCs w:val="30"/>
        </w:rPr>
        <w:t>农村黑臭水体水质监测</w:t>
      </w:r>
      <w:bookmarkEnd w:id="268"/>
      <w:bookmarkEnd w:id="269"/>
      <w:bookmarkEnd w:id="270"/>
      <w:bookmarkEnd w:id="271"/>
      <w:bookmarkEnd w:id="272"/>
      <w:bookmarkEnd w:id="273"/>
      <w:bookmarkEnd w:id="274"/>
      <w:bookmarkEnd w:id="275"/>
      <w:bookmarkEnd w:id="276"/>
      <w:bookmarkEnd w:id="277"/>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278" w:name="_Toc26425"/>
      <w:r>
        <w:rPr>
          <w:rFonts w:hint="eastAsia" w:ascii="仿宋_GB2312" w:hAnsi="仿宋_GB2312" w:eastAsia="仿宋_GB2312" w:cs="仿宋_GB2312"/>
          <w:b w:val="0"/>
          <w:bCs/>
          <w:sz w:val="28"/>
          <w:szCs w:val="28"/>
        </w:rPr>
        <w:t>1.监测范围</w:t>
      </w:r>
      <w:bookmarkEnd w:id="278"/>
    </w:p>
    <w:p>
      <w:pPr>
        <w:autoSpaceDE w:val="0"/>
        <w:autoSpaceDN w:val="0"/>
        <w:adjustRightIn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国家监管清单中已完成整治的农村黑臭水体。</w:t>
      </w:r>
    </w:p>
    <w:p>
      <w:pPr>
        <w:tabs>
          <w:tab w:val="left" w:pos="855"/>
          <w:tab w:val="left" w:pos="1440"/>
        </w:tabs>
        <w:spacing w:line="560" w:lineRule="exact"/>
        <w:jc w:val="center"/>
        <w:rPr>
          <w:rFonts w:ascii="方正小标宋简体" w:eastAsia="方正小标宋简体"/>
          <w:sz w:val="36"/>
          <w:szCs w:val="36"/>
        </w:rPr>
      </w:pPr>
      <w:bookmarkStart w:id="279" w:name="_Toc32552"/>
      <w:r>
        <w:rPr>
          <w:rFonts w:hint="eastAsia" w:ascii="黑体" w:hAnsi="黑体" w:eastAsia="黑体" w:cs="黑体"/>
          <w:color w:val="000000"/>
          <w:sz w:val="24"/>
          <w:szCs w:val="24"/>
        </w:rPr>
        <w:t>表</w:t>
      </w:r>
      <w:r>
        <w:rPr>
          <w:rFonts w:hint="eastAsia" w:ascii="黑体" w:hAnsi="黑体" w:eastAsia="黑体" w:cs="黑体"/>
          <w:color w:val="000000"/>
          <w:sz w:val="24"/>
          <w:szCs w:val="24"/>
          <w:lang w:val="en-US" w:eastAsia="zh-CN"/>
        </w:rPr>
        <w:t>16</w:t>
      </w:r>
      <w:r>
        <w:rPr>
          <w:rFonts w:hint="eastAsia" w:ascii="黑体" w:hAnsi="黑体" w:eastAsia="黑体" w:cs="黑体"/>
          <w:color w:val="000000"/>
          <w:sz w:val="24"/>
          <w:szCs w:val="24"/>
        </w:rPr>
        <w:t xml:space="preserve"> </w:t>
      </w:r>
      <w:r>
        <w:rPr>
          <w:rFonts w:hint="eastAsia" w:ascii="黑体" w:hAnsi="黑体" w:eastAsia="黑体" w:cs="黑体"/>
          <w:sz w:val="24"/>
          <w:szCs w:val="24"/>
        </w:rPr>
        <w:t>咸宁市农村黑臭水体监测名单</w:t>
      </w:r>
      <w:bookmarkEnd w:id="279"/>
    </w:p>
    <w:tbl>
      <w:tblPr>
        <w:tblStyle w:val="22"/>
        <w:tblW w:w="8523" w:type="dxa"/>
        <w:jc w:val="center"/>
        <w:tblLayout w:type="fixed"/>
        <w:tblCellMar>
          <w:top w:w="0" w:type="dxa"/>
          <w:left w:w="108" w:type="dxa"/>
          <w:bottom w:w="0" w:type="dxa"/>
          <w:right w:w="108" w:type="dxa"/>
        </w:tblCellMar>
      </w:tblPr>
      <w:tblGrid>
        <w:gridCol w:w="682"/>
        <w:gridCol w:w="1215"/>
        <w:gridCol w:w="1935"/>
        <w:gridCol w:w="2130"/>
        <w:gridCol w:w="2561"/>
      </w:tblGrid>
      <w:tr>
        <w:tblPrEx>
          <w:tblCellMar>
            <w:top w:w="0" w:type="dxa"/>
            <w:left w:w="108" w:type="dxa"/>
            <w:bottom w:w="0" w:type="dxa"/>
            <w:right w:w="108" w:type="dxa"/>
          </w:tblCellMar>
        </w:tblPrEx>
        <w:trPr>
          <w:trHeight w:val="285" w:hRule="atLeast"/>
          <w:tblHeader/>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县（市、区）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水体名称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黑臭段起点</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黑臭段终点</w:t>
            </w:r>
          </w:p>
        </w:tc>
      </w:tr>
      <w:tr>
        <w:tblPrEx>
          <w:tblCellMar>
            <w:top w:w="0" w:type="dxa"/>
            <w:left w:w="108" w:type="dxa"/>
            <w:bottom w:w="0" w:type="dxa"/>
            <w:right w:w="108" w:type="dxa"/>
          </w:tblCellMar>
        </w:tblPrEx>
        <w:trPr>
          <w:trHeight w:val="28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咸安区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湖场村四组塘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湖场村4组073乡道东侧10米</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湖场村4组073乡道东侧100米</w:t>
            </w:r>
          </w:p>
        </w:tc>
      </w:tr>
      <w:tr>
        <w:tblPrEx>
          <w:tblCellMar>
            <w:top w:w="0" w:type="dxa"/>
            <w:left w:w="108" w:type="dxa"/>
            <w:bottom w:w="0" w:type="dxa"/>
            <w:right w:w="108" w:type="dxa"/>
          </w:tblCellMar>
        </w:tblPrEx>
        <w:trPr>
          <w:trHeight w:val="28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咸安区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渠首河</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高铺村陈北海铺北侧</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高铺村317省道北侧</w:t>
            </w:r>
          </w:p>
        </w:tc>
      </w:tr>
      <w:tr>
        <w:tblPrEx>
          <w:tblCellMar>
            <w:top w:w="0" w:type="dxa"/>
            <w:left w:w="108" w:type="dxa"/>
            <w:bottom w:w="0" w:type="dxa"/>
            <w:right w:w="108" w:type="dxa"/>
          </w:tblCellMar>
        </w:tblPrEx>
        <w:trPr>
          <w:trHeight w:val="28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通山县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三溪河</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还建点小桥下</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还建点下游拦水坝</w:t>
            </w:r>
          </w:p>
        </w:tc>
      </w:tr>
      <w:tr>
        <w:tblPrEx>
          <w:tblCellMar>
            <w:top w:w="0" w:type="dxa"/>
            <w:left w:w="108" w:type="dxa"/>
            <w:bottom w:w="0" w:type="dxa"/>
            <w:right w:w="108" w:type="dxa"/>
          </w:tblCellMar>
        </w:tblPrEx>
        <w:trPr>
          <w:trHeight w:val="28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崇阳县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仙坪村三组八斗丘水塘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三组八斗丘南20米</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三组八斗丘南50米</w:t>
            </w:r>
          </w:p>
        </w:tc>
      </w:tr>
      <w:tr>
        <w:tblPrEx>
          <w:tblCellMar>
            <w:top w:w="0" w:type="dxa"/>
            <w:left w:w="108" w:type="dxa"/>
            <w:bottom w:w="0" w:type="dxa"/>
            <w:right w:w="108" w:type="dxa"/>
          </w:tblCellMar>
        </w:tblPrEx>
        <w:trPr>
          <w:trHeight w:val="28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赤壁市</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电站塘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易畈村一组门前100m</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易畈村一组门前100m</w:t>
            </w:r>
          </w:p>
        </w:tc>
      </w:tr>
      <w:tr>
        <w:tblPrEx>
          <w:tblCellMar>
            <w:top w:w="0" w:type="dxa"/>
            <w:left w:w="108" w:type="dxa"/>
            <w:bottom w:w="0" w:type="dxa"/>
            <w:right w:w="108" w:type="dxa"/>
          </w:tblCellMar>
        </w:tblPrEx>
        <w:trPr>
          <w:trHeight w:val="28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赤壁市</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五组楼脚底门口塘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五组楼底下居民聚集区</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五组楼底下居民聚集区</w:t>
            </w:r>
          </w:p>
        </w:tc>
      </w:tr>
      <w:tr>
        <w:tblPrEx>
          <w:tblCellMar>
            <w:top w:w="0" w:type="dxa"/>
            <w:left w:w="108" w:type="dxa"/>
            <w:bottom w:w="0" w:type="dxa"/>
            <w:right w:w="108" w:type="dxa"/>
          </w:tblCellMar>
        </w:tblPrEx>
        <w:trPr>
          <w:trHeight w:val="28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崇阳县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石山村水塘</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十一组</w:t>
            </w:r>
            <w:r>
              <w:rPr>
                <w:rFonts w:hint="eastAsia" w:ascii="仿宋_GB2312" w:hAnsi="仿宋_GB2312" w:eastAsia="仿宋_GB2312" w:cs="仿宋_GB2312"/>
                <w:szCs w:val="21"/>
                <w:lang w:val="en-US" w:eastAsia="zh-CN"/>
              </w:rPr>
              <w:t>15号</w:t>
            </w:r>
          </w:p>
        </w:tc>
        <w:tc>
          <w:tcPr>
            <w:tcW w:w="2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十一组</w:t>
            </w:r>
            <w:r>
              <w:rPr>
                <w:rFonts w:hint="eastAsia" w:ascii="仿宋_GB2312" w:hAnsi="仿宋_GB2312" w:eastAsia="仿宋_GB2312" w:cs="仿宋_GB2312"/>
                <w:szCs w:val="21"/>
                <w:lang w:val="en-US" w:eastAsia="zh-CN"/>
              </w:rPr>
              <w:t>15号东南35米</w:t>
            </w:r>
          </w:p>
        </w:tc>
      </w:tr>
    </w:tbl>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280" w:name="_Toc31098"/>
      <w:r>
        <w:rPr>
          <w:rFonts w:hint="eastAsia" w:ascii="仿宋_GB2312" w:hAnsi="仿宋_GB2312" w:eastAsia="仿宋_GB2312" w:cs="仿宋_GB2312"/>
          <w:b w:val="0"/>
          <w:bCs/>
          <w:sz w:val="28"/>
          <w:szCs w:val="28"/>
        </w:rPr>
        <w:t>2.监测项目</w:t>
      </w:r>
      <w:bookmarkEnd w:id="280"/>
    </w:p>
    <w:p>
      <w:pPr>
        <w:autoSpaceDE w:val="0"/>
        <w:autoSpaceDN w:val="0"/>
        <w:adjustRightInd w:val="0"/>
        <w:spacing w:line="5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必测项目：透明度、溶解氧、氨氮。</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281" w:name="_Toc1513"/>
      <w:r>
        <w:rPr>
          <w:rFonts w:hint="eastAsia" w:ascii="仿宋_GB2312" w:hAnsi="仿宋_GB2312" w:eastAsia="仿宋_GB2312" w:cs="仿宋_GB2312"/>
          <w:b w:val="0"/>
          <w:bCs/>
          <w:sz w:val="28"/>
          <w:szCs w:val="28"/>
        </w:rPr>
        <w:t>3.监测频次</w:t>
      </w:r>
      <w:bookmarkEnd w:id="281"/>
    </w:p>
    <w:p>
      <w:pPr>
        <w:autoSpaceDE w:val="0"/>
        <w:autoSpaceDN w:val="0"/>
        <w:adjustRightInd w:val="0"/>
        <w:spacing w:line="5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每年第三季度监测1次。选择水体水量正常的时期采样，应避免雨季和汛期采样。</w:t>
      </w:r>
      <w:bookmarkStart w:id="282" w:name="_Toc32314"/>
    </w:p>
    <w:p>
      <w:pPr>
        <w:autoSpaceDE w:val="0"/>
        <w:autoSpaceDN w:val="0"/>
        <w:adjustRightIn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4.</w:t>
      </w:r>
      <w:r>
        <w:rPr>
          <w:rFonts w:hint="eastAsia" w:ascii="仿宋_GB2312" w:hAnsi="仿宋_GB2312" w:eastAsia="仿宋_GB2312" w:cs="仿宋_GB2312"/>
          <w:bCs/>
          <w:sz w:val="28"/>
          <w:szCs w:val="28"/>
        </w:rPr>
        <w:t>工作方式</w:t>
      </w:r>
      <w:bookmarkEnd w:id="282"/>
    </w:p>
    <w:p>
      <w:pPr>
        <w:autoSpaceDE w:val="0"/>
        <w:autoSpaceDN w:val="0"/>
        <w:adjustRightInd w:val="0"/>
        <w:spacing w:line="5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农村黑臭水体水质监测为地方事权，</w:t>
      </w:r>
      <w:bookmarkStart w:id="283" w:name="_Hlk96592271"/>
      <w:r>
        <w:rPr>
          <w:rFonts w:hint="eastAsia" w:ascii="仿宋_GB2312" w:hAnsi="仿宋_GB2312" w:eastAsia="仿宋_GB2312" w:cs="仿宋_GB2312"/>
          <w:bCs/>
          <w:kern w:val="0"/>
          <w:sz w:val="28"/>
          <w:szCs w:val="28"/>
        </w:rPr>
        <w:t>由黑臭水体所在地</w:t>
      </w:r>
      <w:r>
        <w:rPr>
          <w:rFonts w:hint="eastAsia" w:ascii="仿宋_GB2312" w:hAnsi="仿宋_GB2312" w:eastAsia="仿宋_GB2312" w:cs="仿宋_GB2312"/>
          <w:bCs/>
          <w:sz w:val="28"/>
          <w:szCs w:val="28"/>
        </w:rPr>
        <w:t>生态环境分局</w:t>
      </w:r>
      <w:bookmarkEnd w:id="283"/>
      <w:r>
        <w:rPr>
          <w:rFonts w:hint="eastAsia" w:ascii="仿宋_GB2312" w:hAnsi="仿宋_GB2312" w:eastAsia="仿宋_GB2312" w:cs="仿宋_GB2312"/>
          <w:bCs/>
          <w:sz w:val="28"/>
          <w:szCs w:val="28"/>
        </w:rPr>
        <w:t>负责组织实施。</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284" w:name="_Toc18137"/>
      <w:r>
        <w:rPr>
          <w:rFonts w:hint="eastAsia" w:ascii="仿宋_GB2312" w:hAnsi="仿宋_GB2312" w:eastAsia="仿宋_GB2312" w:cs="仿宋_GB2312"/>
          <w:b w:val="0"/>
          <w:bCs/>
          <w:sz w:val="28"/>
          <w:szCs w:val="28"/>
        </w:rPr>
        <w:t>5.数据报送</w:t>
      </w:r>
      <w:bookmarkEnd w:id="284"/>
    </w:p>
    <w:p>
      <w:pPr>
        <w:autoSpaceDE w:val="0"/>
        <w:autoSpaceDN w:val="0"/>
        <w:adjustRightInd w:val="0"/>
        <w:spacing w:line="5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9月20日前，各地生态环境分局</w:t>
      </w:r>
      <w:bookmarkStart w:id="285" w:name="_Hlk96607900"/>
      <w:r>
        <w:rPr>
          <w:rFonts w:hint="eastAsia" w:ascii="仿宋_GB2312" w:hAnsi="仿宋_GB2312" w:eastAsia="仿宋_GB2312" w:cs="仿宋_GB2312"/>
          <w:bCs/>
          <w:kern w:val="0"/>
          <w:sz w:val="28"/>
          <w:szCs w:val="28"/>
        </w:rPr>
        <w:t>通过生态农村监测业务系统报送审核后的监测数据，市生态环境局生态科负责数据审核。</w:t>
      </w:r>
      <w:bookmarkEnd w:id="285"/>
      <w:bookmarkStart w:id="286" w:name="_Hlk96607646"/>
      <w:r>
        <w:rPr>
          <w:rFonts w:hint="eastAsia" w:ascii="仿宋_GB2312" w:hAnsi="仿宋_GB2312" w:eastAsia="仿宋_GB2312" w:cs="仿宋_GB2312"/>
          <w:bCs/>
          <w:kern w:val="0"/>
          <w:sz w:val="28"/>
          <w:szCs w:val="28"/>
        </w:rPr>
        <w:t>未开展监测的，需向省监测中心站提交正式文件予以说明。</w:t>
      </w:r>
      <w:bookmarkEnd w:id="286"/>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287" w:name="_Toc7306"/>
      <w:r>
        <w:rPr>
          <w:rFonts w:hint="eastAsia" w:ascii="仿宋_GB2312" w:hAnsi="仿宋_GB2312" w:eastAsia="仿宋_GB2312" w:cs="仿宋_GB2312"/>
          <w:b w:val="0"/>
          <w:bCs/>
          <w:sz w:val="28"/>
          <w:szCs w:val="28"/>
        </w:rPr>
        <w:t>6.质量保证与质量控制</w:t>
      </w:r>
      <w:bookmarkEnd w:id="287"/>
    </w:p>
    <w:p>
      <w:pPr>
        <w:autoSpaceDE w:val="0"/>
        <w:autoSpaceDN w:val="0"/>
        <w:adjustRightIn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质量保证和质量控制按照《地表水和污水监测技术规范》（HJ/T 91—2002）、《农村黑臭水体治理工作指南（试行）》（环办土壤函〔2019〕826号）及有关要求执行。省监测中心站对监测任务承担单位报送的监测结果进行审核。</w:t>
      </w:r>
    </w:p>
    <w:p>
      <w:pPr>
        <w:pStyle w:val="4"/>
        <w:ind w:firstLine="600"/>
        <w:rPr>
          <w:rFonts w:hint="eastAsia" w:ascii="Times New Roman" w:hAnsi="Times New Roman" w:eastAsia="黑体" w:cs="Times New Roman"/>
          <w:color w:val="000000"/>
          <w:kern w:val="0"/>
          <w:sz w:val="30"/>
          <w:szCs w:val="30"/>
          <w:lang w:eastAsia="zh-CN"/>
        </w:rPr>
      </w:pPr>
      <w:bookmarkStart w:id="288" w:name="_Toc10881"/>
      <w:r>
        <w:rPr>
          <w:rFonts w:hint="eastAsia"/>
          <w:sz w:val="30"/>
          <w:szCs w:val="30"/>
        </w:rPr>
        <w:t>（二十）</w:t>
      </w:r>
      <w:bookmarkEnd w:id="267"/>
      <w:r>
        <w:rPr>
          <w:rFonts w:hint="eastAsia"/>
          <w:sz w:val="30"/>
          <w:szCs w:val="30"/>
          <w:lang w:eastAsia="zh-CN"/>
        </w:rPr>
        <w:t>农业面源污染监测评估</w:t>
      </w:r>
      <w:bookmarkEnd w:id="288"/>
    </w:p>
    <w:p>
      <w:pPr>
        <w:pStyle w:val="6"/>
        <w:numPr>
          <w:ilvl w:val="2"/>
          <w:numId w:val="4"/>
        </w:numPr>
        <w:adjustRightInd w:val="0"/>
        <w:spacing w:line="530" w:lineRule="exact"/>
        <w:ind w:firstLine="562" w:firstLineChars="200"/>
        <w:rPr>
          <w:rFonts w:hint="eastAsia" w:ascii="仿宋_GB2312" w:hAnsi="仿宋_GB2312" w:eastAsia="仿宋_GB2312" w:cs="仿宋_GB2312"/>
          <w:sz w:val="28"/>
          <w:szCs w:val="28"/>
        </w:rPr>
      </w:pPr>
      <w:bookmarkStart w:id="289" w:name="_Toc62822075"/>
      <w:r>
        <w:rPr>
          <w:rFonts w:hint="eastAsia" w:ascii="仿宋_GB2312" w:hAnsi="仿宋_GB2312" w:eastAsia="仿宋_GB2312" w:cs="仿宋_GB2312"/>
          <w:sz w:val="28"/>
          <w:szCs w:val="28"/>
        </w:rPr>
        <w:t>监测范围</w:t>
      </w:r>
    </w:p>
    <w:p>
      <w:pPr>
        <w:adjustRightInd w:val="0"/>
        <w:snapToGrid w:val="0"/>
        <w:spacing w:line="53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开展农业面源污染指标调查。 </w:t>
      </w:r>
    </w:p>
    <w:p>
      <w:pPr>
        <w:pStyle w:val="6"/>
        <w:numPr>
          <w:ilvl w:val="2"/>
          <w:numId w:val="4"/>
        </w:numPr>
        <w:adjustRightInd w:val="0"/>
        <w:spacing w:line="53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监测内容</w:t>
      </w:r>
    </w:p>
    <w:p>
      <w:pPr>
        <w:pStyle w:val="2"/>
        <w:widowControl w:val="0"/>
        <w:adjustRightInd w:val="0"/>
        <w:spacing w:line="530" w:lineRule="exact"/>
        <w:ind w:firstLine="64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（1）指标调查</w:t>
      </w:r>
    </w:p>
    <w:p>
      <w:pPr>
        <w:pStyle w:val="2"/>
        <w:widowControl w:val="0"/>
        <w:adjustRightInd w:val="0"/>
        <w:spacing w:line="530" w:lineRule="exact"/>
        <w:ind w:firstLine="64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fldChar w:fldCharType="begin"/>
      </w:r>
      <w:r>
        <w:rPr>
          <w:rFonts w:hint="eastAsia" w:ascii="仿宋_GB2312" w:hAnsi="仿宋_GB2312" w:eastAsia="仿宋_GB2312" w:cs="仿宋_GB2312"/>
          <w:kern w:val="2"/>
          <w:sz w:val="28"/>
          <w:szCs w:val="28"/>
        </w:rPr>
        <w:instrText xml:space="preserve"> = 1 \* GB3 </w:instrText>
      </w:r>
      <w:r>
        <w:rPr>
          <w:rFonts w:hint="eastAsia" w:ascii="仿宋_GB2312" w:hAnsi="仿宋_GB2312" w:eastAsia="仿宋_GB2312" w:cs="仿宋_GB2312"/>
          <w:kern w:val="2"/>
          <w:sz w:val="28"/>
          <w:szCs w:val="28"/>
        </w:rPr>
        <w:fldChar w:fldCharType="separate"/>
      </w:r>
      <w:r>
        <w:rPr>
          <w:rFonts w:hint="eastAsia" w:ascii="仿宋_GB2312" w:hAnsi="仿宋_GB2312" w:eastAsia="仿宋_GB2312" w:cs="仿宋_GB2312"/>
          <w:kern w:val="2"/>
          <w:sz w:val="28"/>
          <w:szCs w:val="28"/>
        </w:rPr>
        <w:t>①</w:t>
      </w:r>
      <w:r>
        <w:rPr>
          <w:rFonts w:hint="eastAsia" w:ascii="仿宋_GB2312" w:hAnsi="仿宋_GB2312" w:eastAsia="仿宋_GB2312" w:cs="仿宋_GB2312"/>
          <w:kern w:val="2"/>
          <w:sz w:val="28"/>
          <w:szCs w:val="28"/>
        </w:rPr>
        <w:fldChar w:fldCharType="end"/>
      </w:r>
      <w:r>
        <w:rPr>
          <w:rFonts w:hint="eastAsia" w:ascii="仿宋_GB2312" w:hAnsi="仿宋_GB2312" w:eastAsia="仿宋_GB2312" w:cs="仿宋_GB2312"/>
          <w:kern w:val="2"/>
          <w:sz w:val="28"/>
          <w:szCs w:val="28"/>
        </w:rPr>
        <w:t>分县农业面源污染指标调查</w:t>
      </w:r>
    </w:p>
    <w:p>
      <w:pPr>
        <w:pStyle w:val="2"/>
        <w:widowControl w:val="0"/>
        <w:adjustRightInd w:val="0"/>
        <w:spacing w:line="530" w:lineRule="exact"/>
        <w:ind w:firstLine="64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参考统计年鉴和普查资料等，每年开展上一年度农业面源污染相关分县指标调查，调查指标清单详见表</w:t>
      </w:r>
      <w:r>
        <w:rPr>
          <w:rFonts w:hint="eastAsia" w:ascii="仿宋_GB2312" w:hAnsi="仿宋_GB2312" w:eastAsia="仿宋_GB2312" w:cs="仿宋_GB2312"/>
          <w:kern w:val="2"/>
          <w:sz w:val="28"/>
          <w:szCs w:val="28"/>
          <w:lang w:val="en-US" w:eastAsia="zh-CN"/>
        </w:rPr>
        <w:t>17</w:t>
      </w:r>
      <w:r>
        <w:rPr>
          <w:rFonts w:hint="eastAsia" w:ascii="仿宋_GB2312" w:hAnsi="仿宋_GB2312" w:eastAsia="仿宋_GB2312" w:cs="仿宋_GB2312"/>
          <w:kern w:val="2"/>
          <w:sz w:val="28"/>
          <w:szCs w:val="28"/>
        </w:rPr>
        <w:t>，各地方可结合实际情况填报调查指标。有条件地方可增加规模养殖场及规模以下养殖户数、畜禽养殖类型及养殖量调查。</w:t>
      </w:r>
    </w:p>
    <w:p>
      <w:pPr>
        <w:pStyle w:val="2"/>
        <w:widowControl w:val="0"/>
        <w:adjustRightInd w:val="0"/>
        <w:spacing w:line="530" w:lineRule="exact"/>
        <w:ind w:firstLine="64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以县为单元开展年度农业面源污染相关参数调查，调查指标包括农村（或城乡）生活垃圾无害化处理率、农村生活污水处理率、畜禽粪污综合利用率（或资源化利用率），每年开展上一年度的参数调查。调查方法为在统计、农业农村、市场监督管理等部门调查统计工作的基础上，可采用信息查询、专家咨询、入户调查和抽样调查等方式开展工作。</w:t>
      </w:r>
    </w:p>
    <w:p>
      <w:pPr>
        <w:adjustRightInd w:val="0"/>
        <w:spacing w:before="93" w:beforeLines="30" w:after="93" w:afterLines="30" w:line="550" w:lineRule="exact"/>
        <w:ind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表</w:t>
      </w:r>
      <w:r>
        <w:rPr>
          <w:rFonts w:hint="eastAsia" w:ascii="黑体" w:hAnsi="黑体" w:eastAsia="黑体" w:cs="黑体"/>
          <w:b w:val="0"/>
          <w:bCs w:val="0"/>
          <w:sz w:val="24"/>
          <w:szCs w:val="24"/>
          <w:lang w:val="en-US" w:eastAsia="zh-CN"/>
        </w:rPr>
        <w:t>17</w:t>
      </w:r>
      <w:r>
        <w:rPr>
          <w:rFonts w:hint="eastAsia" w:ascii="黑体" w:hAnsi="黑体" w:eastAsia="黑体" w:cs="黑体"/>
          <w:b w:val="0"/>
          <w:bCs w:val="0"/>
          <w:sz w:val="24"/>
          <w:szCs w:val="24"/>
        </w:rPr>
        <w:t xml:space="preserve"> 农业面源污染年度调查指标清单</w:t>
      </w:r>
    </w:p>
    <w:tbl>
      <w:tblPr>
        <w:tblStyle w:val="22"/>
        <w:tblW w:w="5000" w:type="pct"/>
        <w:jc w:val="center"/>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Layout w:type="autofit"/>
        <w:tblCellMar>
          <w:top w:w="0" w:type="dxa"/>
          <w:left w:w="0" w:type="dxa"/>
          <w:bottom w:w="0" w:type="dxa"/>
          <w:right w:w="0" w:type="dxa"/>
        </w:tblCellMar>
      </w:tblPr>
      <w:tblGrid>
        <w:gridCol w:w="734"/>
        <w:gridCol w:w="3420"/>
        <w:gridCol w:w="781"/>
        <w:gridCol w:w="3702"/>
      </w:tblGrid>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tblHeade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b/>
                <w:bCs/>
                <w:spacing w:val="6"/>
                <w:sz w:val="21"/>
                <w:szCs w:val="21"/>
                <w:lang w:eastAsia="en-US"/>
              </w:rPr>
            </w:pPr>
            <w:r>
              <w:rPr>
                <w:rFonts w:hint="eastAsia" w:ascii="仿宋_GB2312" w:hAnsi="仿宋_GB2312" w:eastAsia="仿宋_GB2312" w:cs="仿宋_GB2312"/>
                <w:b/>
                <w:bCs/>
                <w:spacing w:val="6"/>
                <w:sz w:val="21"/>
                <w:szCs w:val="21"/>
                <w:lang w:eastAsia="en-US"/>
              </w:rPr>
              <w:t>编号</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b/>
                <w:bCs/>
                <w:spacing w:val="6"/>
                <w:sz w:val="21"/>
                <w:szCs w:val="21"/>
                <w:lang w:eastAsia="en-US"/>
              </w:rPr>
            </w:pPr>
            <w:r>
              <w:rPr>
                <w:rFonts w:hint="eastAsia" w:ascii="仿宋_GB2312" w:hAnsi="仿宋_GB2312" w:eastAsia="仿宋_GB2312" w:cs="仿宋_GB2312"/>
                <w:b/>
                <w:bCs/>
                <w:spacing w:val="6"/>
                <w:sz w:val="21"/>
                <w:szCs w:val="21"/>
                <w:lang w:eastAsia="en-US"/>
              </w:rPr>
              <w:t>指标名称</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b/>
                <w:bCs/>
                <w:spacing w:val="6"/>
                <w:sz w:val="21"/>
                <w:szCs w:val="21"/>
                <w:lang w:eastAsia="en-US"/>
              </w:rPr>
            </w:pPr>
            <w:r>
              <w:rPr>
                <w:rFonts w:hint="eastAsia" w:ascii="仿宋_GB2312" w:hAnsi="仿宋_GB2312" w:eastAsia="仿宋_GB2312" w:cs="仿宋_GB2312"/>
                <w:b/>
                <w:bCs/>
                <w:spacing w:val="6"/>
                <w:sz w:val="21"/>
                <w:szCs w:val="21"/>
                <w:lang w:eastAsia="en-US"/>
              </w:rPr>
              <w:t>编号</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b/>
                <w:bCs/>
                <w:spacing w:val="6"/>
                <w:sz w:val="21"/>
                <w:szCs w:val="21"/>
                <w:lang w:eastAsia="en-US"/>
              </w:rPr>
            </w:pPr>
            <w:r>
              <w:rPr>
                <w:rFonts w:hint="eastAsia" w:ascii="仿宋_GB2312" w:hAnsi="仿宋_GB2312" w:eastAsia="仿宋_GB2312" w:cs="仿宋_GB2312"/>
                <w:b/>
                <w:bCs/>
                <w:spacing w:val="6"/>
                <w:sz w:val="21"/>
                <w:szCs w:val="21"/>
                <w:lang w:eastAsia="en-US"/>
              </w:rPr>
              <w:t>指标名称</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总人口</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27</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甘蔗总产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乡村人口</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28</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甜菜总产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耕地面积</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29</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水稻播种面积</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水田（ 或旱地）面积</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30</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小麦播种面积</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5</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农作物总播种面积</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31</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玉米播种面积</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6</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灌溉面积</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32</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大豆播种面积</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7</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氮肥纯量</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33</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蔬菜总产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8</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磷肥纯量</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34</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瓜果类总产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9</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复合肥纯量</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35</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水果总产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10</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水稻总产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36</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苹果总产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11</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小麦总产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37</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梨总产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12</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玉米总产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38</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葡萄总产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13</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豆类总产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39</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柑桶总产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14</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大豆总产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40</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香蕉总产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15</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薯类总产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41</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干胶总产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16</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高粱总产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42</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干茶总产</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17</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谷子总产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43</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园地面积（果园＋橡胶园＋茶园面）积〉</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18</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杂粮总产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44</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年末大牲畜存栏数</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19</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棉花总产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45</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年末牛存栏数</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20</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花生总产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46</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年末肉牛（或乳牛〉 存栏数</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21</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油菜籽总产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47</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年末羊存栏数</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22</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芝麻总产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48</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年 内猪出栏数</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23</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胡麻籽总产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49</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年末猪存栏数</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24</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葵花籽总产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50</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禽肉产量</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25</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麻类总产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51</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禽蛋产量</w:t>
            </w:r>
          </w:p>
        </w:tc>
      </w:tr>
      <w:tr>
        <w:tblPrEx>
          <w:tblBorders>
            <w:top w:val="single" w:color="444448" w:sz="8" w:space="0"/>
            <w:left w:val="single" w:color="444448" w:sz="8" w:space="0"/>
            <w:bottom w:val="single" w:color="444448" w:sz="8" w:space="0"/>
            <w:right w:val="single" w:color="444448" w:sz="8" w:space="0"/>
            <w:insideH w:val="single" w:color="444448" w:sz="8" w:space="0"/>
            <w:insideV w:val="single" w:color="444448" w:sz="8" w:space="0"/>
          </w:tblBorders>
          <w:tblCellMar>
            <w:top w:w="0" w:type="dxa"/>
            <w:left w:w="0" w:type="dxa"/>
            <w:bottom w:w="0" w:type="dxa"/>
            <w:right w:w="0" w:type="dxa"/>
          </w:tblCellMar>
        </w:tblPrEx>
        <w:trPr>
          <w:jc w:val="center"/>
        </w:trPr>
        <w:tc>
          <w:tcPr>
            <w:tcW w:w="425"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26</w:t>
            </w:r>
          </w:p>
        </w:tc>
        <w:tc>
          <w:tcPr>
            <w:tcW w:w="1980"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烤烟总产</w:t>
            </w:r>
          </w:p>
        </w:tc>
        <w:tc>
          <w:tcPr>
            <w:tcW w:w="452"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w:t>
            </w:r>
          </w:p>
        </w:tc>
        <w:tc>
          <w:tcPr>
            <w:tcW w:w="2143" w:type="pct"/>
            <w:shd w:val="clear" w:color="auto" w:fill="auto"/>
            <w:noWrap w:val="0"/>
            <w:vAlign w:val="center"/>
          </w:tcPr>
          <w:p>
            <w:pPr>
              <w:autoSpaceDE w:val="0"/>
              <w:autoSpaceDN w:val="0"/>
              <w:adjustRightInd w:val="0"/>
              <w:snapToGrid w:val="0"/>
              <w:spacing w:before="31" w:beforeLines="10" w:after="31" w:afterLines="10" w:line="300" w:lineRule="atLeast"/>
              <w:ind w:firstLine="0" w:firstLineChars="0"/>
              <w:jc w:val="center"/>
              <w:rPr>
                <w:rFonts w:hint="eastAsia" w:ascii="仿宋_GB2312" w:hAnsi="仿宋_GB2312" w:eastAsia="仿宋_GB2312" w:cs="仿宋_GB2312"/>
                <w:spacing w:val="6"/>
                <w:sz w:val="21"/>
                <w:szCs w:val="21"/>
                <w:lang w:eastAsia="en-US"/>
              </w:rPr>
            </w:pPr>
            <w:r>
              <w:rPr>
                <w:rFonts w:hint="eastAsia" w:ascii="仿宋_GB2312" w:hAnsi="仿宋_GB2312" w:eastAsia="仿宋_GB2312" w:cs="仿宋_GB2312"/>
                <w:spacing w:val="6"/>
                <w:sz w:val="21"/>
                <w:szCs w:val="21"/>
                <w:lang w:eastAsia="en-US"/>
              </w:rPr>
              <w:t>/</w:t>
            </w:r>
          </w:p>
        </w:tc>
      </w:tr>
    </w:tbl>
    <w:p>
      <w:pPr>
        <w:pStyle w:val="2"/>
        <w:widowControl w:val="0"/>
        <w:adjustRightInd w:val="0"/>
        <w:spacing w:line="550" w:lineRule="exact"/>
        <w:ind w:firstLine="420"/>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注：1.表中总人口和乡村人口为常住人口。 </w:t>
      </w:r>
    </w:p>
    <w:p>
      <w:pPr>
        <w:pStyle w:val="2"/>
        <w:widowControl w:val="0"/>
        <w:adjustRightInd w:val="0"/>
        <w:spacing w:line="550" w:lineRule="exact"/>
        <w:ind w:firstLine="64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2.上述指标数据均来自统计年鉴，可结合实际情况填报调查指标。</w:t>
      </w:r>
    </w:p>
    <w:p>
      <w:pPr>
        <w:pStyle w:val="2"/>
        <w:widowControl w:val="0"/>
        <w:adjustRightInd w:val="0"/>
        <w:spacing w:line="550" w:lineRule="exact"/>
        <w:ind w:firstLine="64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fldChar w:fldCharType="begin"/>
      </w:r>
      <w:r>
        <w:rPr>
          <w:rFonts w:hint="eastAsia" w:ascii="仿宋_GB2312" w:hAnsi="仿宋_GB2312" w:eastAsia="仿宋_GB2312" w:cs="仿宋_GB2312"/>
          <w:kern w:val="2"/>
          <w:sz w:val="28"/>
          <w:szCs w:val="28"/>
        </w:rPr>
        <w:instrText xml:space="preserve"> = 2 \* GB3 </w:instrText>
      </w:r>
      <w:r>
        <w:rPr>
          <w:rFonts w:hint="eastAsia" w:ascii="仿宋_GB2312" w:hAnsi="仿宋_GB2312" w:eastAsia="仿宋_GB2312" w:cs="仿宋_GB2312"/>
          <w:kern w:val="2"/>
          <w:sz w:val="28"/>
          <w:szCs w:val="28"/>
        </w:rPr>
        <w:fldChar w:fldCharType="separate"/>
      </w:r>
      <w:r>
        <w:rPr>
          <w:rFonts w:hint="eastAsia" w:ascii="仿宋_GB2312" w:hAnsi="仿宋_GB2312" w:eastAsia="仿宋_GB2312" w:cs="仿宋_GB2312"/>
          <w:kern w:val="2"/>
          <w:sz w:val="28"/>
          <w:szCs w:val="28"/>
        </w:rPr>
        <w:t>②</w:t>
      </w:r>
      <w:r>
        <w:rPr>
          <w:rFonts w:hint="eastAsia" w:ascii="仿宋_GB2312" w:hAnsi="仿宋_GB2312" w:eastAsia="仿宋_GB2312" w:cs="仿宋_GB2312"/>
          <w:kern w:val="2"/>
          <w:sz w:val="28"/>
          <w:szCs w:val="28"/>
        </w:rPr>
        <w:fldChar w:fldCharType="end"/>
      </w:r>
      <w:r>
        <w:rPr>
          <w:rFonts w:hint="eastAsia" w:ascii="仿宋_GB2312" w:hAnsi="仿宋_GB2312" w:eastAsia="仿宋_GB2312" w:cs="仿宋_GB2312"/>
          <w:kern w:val="2"/>
          <w:sz w:val="28"/>
          <w:szCs w:val="28"/>
        </w:rPr>
        <w:t>地块调查</w:t>
      </w:r>
    </w:p>
    <w:p>
      <w:pPr>
        <w:pStyle w:val="2"/>
        <w:widowControl w:val="0"/>
        <w:adjustRightInd w:val="0"/>
        <w:spacing w:line="550" w:lineRule="exact"/>
        <w:ind w:firstLine="64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块调查的范围为监测区内布设土壤监测点位的地块，包括耕地、果园、菜地、茶园和橡胶园等地类，地块调查指标包括地块面积、播种期及作物类型、施肥期及施肥量、灌溉期及灌溉量、收获期及作物产量等。调查方法同分县农业面源污染指标调查。</w:t>
      </w:r>
    </w:p>
    <w:p>
      <w:pPr>
        <w:pStyle w:val="6"/>
        <w:numPr>
          <w:ilvl w:val="2"/>
          <w:numId w:val="4"/>
        </w:numPr>
        <w:adjustRightInd w:val="0"/>
        <w:spacing w:line="55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工作方式</w:t>
      </w:r>
    </w:p>
    <w:p>
      <w:pPr>
        <w:pStyle w:val="2"/>
        <w:widowControl w:val="0"/>
        <w:adjustRightInd w:val="0"/>
        <w:spacing w:line="550" w:lineRule="exact"/>
        <w:ind w:firstLine="64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农业面源污染</w:t>
      </w:r>
      <w:r>
        <w:rPr>
          <w:rFonts w:hint="eastAsia" w:ascii="仿宋_GB2312" w:hAnsi="仿宋_GB2312" w:eastAsia="仿宋_GB2312" w:cs="仿宋_GB2312"/>
          <w:kern w:val="2"/>
          <w:sz w:val="28"/>
          <w:szCs w:val="28"/>
          <w:lang w:eastAsia="zh-CN"/>
        </w:rPr>
        <w:t>指标调查</w:t>
      </w:r>
      <w:r>
        <w:rPr>
          <w:rFonts w:hint="eastAsia" w:ascii="仿宋_GB2312" w:hAnsi="仿宋_GB2312" w:eastAsia="仿宋_GB2312" w:cs="仿宋_GB2312"/>
          <w:kern w:val="2"/>
          <w:sz w:val="28"/>
          <w:szCs w:val="28"/>
        </w:rPr>
        <w:t>为地方事权，地方保障经费。</w:t>
      </w:r>
    </w:p>
    <w:p>
      <w:pPr>
        <w:pStyle w:val="6"/>
        <w:numPr>
          <w:ilvl w:val="2"/>
          <w:numId w:val="4"/>
        </w:numPr>
        <w:adjustRightInd w:val="0"/>
        <w:spacing w:line="55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数据报送</w:t>
      </w:r>
    </w:p>
    <w:p>
      <w:pPr>
        <w:adjustRightInd w:val="0"/>
        <w:snapToGrid w:val="0"/>
        <w:spacing w:line="55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市生态环境局生态科负责组织各分局开展相关</w:t>
      </w:r>
      <w:r>
        <w:rPr>
          <w:rFonts w:hint="eastAsia" w:ascii="仿宋_GB2312" w:hAnsi="仿宋_GB2312" w:eastAsia="仿宋_GB2312" w:cs="仿宋_GB2312"/>
          <w:sz w:val="28"/>
          <w:szCs w:val="28"/>
          <w:lang w:eastAsia="zh-CN"/>
        </w:rPr>
        <w:t>调查</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11月底前各</w:t>
      </w:r>
      <w:r>
        <w:rPr>
          <w:rFonts w:hint="eastAsia" w:ascii="仿宋_GB2312" w:hAnsi="仿宋_GB2312" w:eastAsia="仿宋_GB2312" w:cs="仿宋_GB2312"/>
          <w:sz w:val="28"/>
          <w:szCs w:val="28"/>
          <w:lang w:eastAsia="zh-CN"/>
        </w:rPr>
        <w:t>分</w:t>
      </w:r>
      <w:r>
        <w:rPr>
          <w:rFonts w:hint="eastAsia" w:ascii="仿宋_GB2312" w:hAnsi="仿宋_GB2312" w:eastAsia="仿宋_GB2312" w:cs="仿宋_GB2312"/>
          <w:sz w:val="28"/>
          <w:szCs w:val="28"/>
        </w:rPr>
        <w:t>局将上年度农业面源污染指标调查数据</w:t>
      </w:r>
      <w:r>
        <w:rPr>
          <w:rFonts w:hint="eastAsia" w:ascii="仿宋_GB2312" w:hAnsi="仿宋_GB2312" w:eastAsia="仿宋_GB2312" w:cs="仿宋_GB2312"/>
          <w:sz w:val="28"/>
          <w:szCs w:val="28"/>
          <w:lang w:eastAsia="zh-CN"/>
        </w:rPr>
        <w:t>上报给市局生态科，有市局生态科统一汇总后上报给省监测中心站</w:t>
      </w:r>
      <w:r>
        <w:rPr>
          <w:rFonts w:hint="eastAsia" w:ascii="仿宋_GB2312" w:hAnsi="仿宋_GB2312" w:eastAsia="仿宋_GB2312" w:cs="仿宋_GB2312"/>
          <w:sz w:val="28"/>
          <w:szCs w:val="28"/>
        </w:rPr>
        <w:t>。</w:t>
      </w:r>
    </w:p>
    <w:p>
      <w:pPr>
        <w:pStyle w:val="6"/>
        <w:numPr>
          <w:ilvl w:val="2"/>
          <w:numId w:val="4"/>
        </w:numPr>
        <w:adjustRightInd w:val="0"/>
        <w:spacing w:line="55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质量保证与质量控制</w:t>
      </w:r>
    </w:p>
    <w:p>
      <w:pPr>
        <w:pStyle w:val="2"/>
        <w:widowControl w:val="0"/>
        <w:adjustRightInd w:val="0"/>
        <w:snapToGrid w:val="0"/>
        <w:spacing w:line="550" w:lineRule="exact"/>
        <w:ind w:firstLine="640"/>
        <w:rPr>
          <w:rFonts w:hint="eastAsia" w:ascii="仿宋_GB2312" w:hAnsi="仿宋_GB2312" w:eastAsia="仿宋_GB2312" w:cs="仿宋_GB2312"/>
          <w:color w:val="FF0000"/>
          <w:w w:val="105"/>
          <w:sz w:val="28"/>
          <w:szCs w:val="28"/>
        </w:rPr>
      </w:pPr>
      <w:r>
        <w:rPr>
          <w:rFonts w:hint="eastAsia" w:ascii="仿宋_GB2312" w:hAnsi="仿宋_GB2312" w:eastAsia="仿宋_GB2312" w:cs="仿宋_GB2312"/>
          <w:kern w:val="2"/>
          <w:sz w:val="28"/>
          <w:szCs w:val="28"/>
        </w:rPr>
        <w:t>各地</w:t>
      </w:r>
      <w:r>
        <w:rPr>
          <w:rFonts w:hint="eastAsia" w:ascii="仿宋_GB2312" w:hAnsi="仿宋_GB2312" w:eastAsia="仿宋_GB2312" w:cs="仿宋_GB2312"/>
          <w:kern w:val="2"/>
          <w:sz w:val="28"/>
          <w:szCs w:val="28"/>
          <w:lang w:eastAsia="zh-CN"/>
        </w:rPr>
        <w:t>分</w:t>
      </w:r>
      <w:r>
        <w:rPr>
          <w:rFonts w:hint="eastAsia" w:ascii="仿宋_GB2312" w:hAnsi="仿宋_GB2312" w:eastAsia="仿宋_GB2312" w:cs="仿宋_GB2312"/>
          <w:kern w:val="2"/>
          <w:sz w:val="28"/>
          <w:szCs w:val="28"/>
        </w:rPr>
        <w:t>局应加强对调查资料的源头审核，并对数据进行校核，确保数据源的权威性和准确性。</w:t>
      </w:r>
    </w:p>
    <w:p>
      <w:pPr>
        <w:pStyle w:val="4"/>
        <w:ind w:firstLine="600"/>
        <w:rPr>
          <w:sz w:val="30"/>
          <w:szCs w:val="30"/>
        </w:rPr>
      </w:pPr>
      <w:bookmarkStart w:id="290" w:name="_Toc5748"/>
      <w:r>
        <w:rPr>
          <w:rFonts w:hint="eastAsia"/>
          <w:sz w:val="30"/>
          <w:szCs w:val="30"/>
        </w:rPr>
        <w:t>（二十</w:t>
      </w:r>
      <w:r>
        <w:rPr>
          <w:rFonts w:hint="eastAsia"/>
          <w:sz w:val="30"/>
          <w:szCs w:val="30"/>
          <w:lang w:eastAsia="zh-CN"/>
        </w:rPr>
        <w:t>一</w:t>
      </w:r>
      <w:r>
        <w:rPr>
          <w:rFonts w:hint="eastAsia"/>
          <w:sz w:val="30"/>
          <w:szCs w:val="30"/>
        </w:rPr>
        <w:t>）声环境质量监测</w:t>
      </w:r>
      <w:bookmarkEnd w:id="289"/>
      <w:bookmarkEnd w:id="290"/>
    </w:p>
    <w:p>
      <w:pPr>
        <w:spacing w:line="560" w:lineRule="exact"/>
        <w:ind w:firstLine="560" w:firstLineChars="200"/>
        <w:jc w:val="left"/>
        <w:rPr>
          <w:rFonts w:ascii="仿宋_GB2312" w:hAnsi="仿宋_GB2312" w:eastAsia="仿宋_GB2312" w:cs="仿宋_GB2312"/>
          <w:sz w:val="28"/>
          <w:szCs w:val="28"/>
        </w:rPr>
      </w:pPr>
      <w:bookmarkStart w:id="291" w:name="_Toc446591016"/>
      <w:r>
        <w:rPr>
          <w:rFonts w:hint="eastAsia" w:ascii="仿宋_GB2312" w:hAnsi="仿宋_GB2312" w:eastAsia="仿宋_GB2312" w:cs="仿宋_GB2312"/>
          <w:sz w:val="28"/>
          <w:szCs w:val="28"/>
        </w:rPr>
        <w:t>1.监测范围</w:t>
      </w:r>
      <w:bookmarkEnd w:id="291"/>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除咸安区以外的其他五县、市城区。</w:t>
      </w:r>
    </w:p>
    <w:p>
      <w:pPr>
        <w:spacing w:line="560" w:lineRule="exact"/>
        <w:ind w:firstLine="560" w:firstLineChars="200"/>
        <w:jc w:val="left"/>
        <w:rPr>
          <w:rFonts w:ascii="仿宋_GB2312" w:hAnsi="仿宋_GB2312" w:eastAsia="仿宋_GB2312" w:cs="仿宋_GB2312"/>
          <w:sz w:val="28"/>
          <w:szCs w:val="28"/>
        </w:rPr>
      </w:pPr>
      <w:bookmarkStart w:id="292" w:name="_Toc446591017"/>
      <w:r>
        <w:rPr>
          <w:rFonts w:hint="eastAsia" w:ascii="仿宋_GB2312" w:hAnsi="仿宋_GB2312" w:eastAsia="仿宋_GB2312" w:cs="仿宋_GB2312"/>
          <w:sz w:val="28"/>
          <w:szCs w:val="28"/>
        </w:rPr>
        <w:t>2.监测项目</w:t>
      </w:r>
      <w:bookmarkEnd w:id="292"/>
    </w:p>
    <w:p>
      <w:pPr>
        <w:topLinePunct/>
        <w:adjustRightInd w:val="0"/>
        <w:snapToGrid w:val="0"/>
        <w:spacing w:line="560" w:lineRule="exact"/>
        <w:ind w:firstLine="560" w:firstLineChars="200"/>
        <w:rPr>
          <w:rFonts w:ascii="仿宋_GB2312" w:hAnsi="仿宋_GB2312" w:eastAsia="仿宋_GB2312" w:cs="仿宋_GB2312"/>
          <w:sz w:val="28"/>
          <w:szCs w:val="28"/>
        </w:rPr>
      </w:pPr>
      <w:bookmarkStart w:id="293" w:name="_Toc446591018"/>
      <w:r>
        <w:rPr>
          <w:rFonts w:hint="eastAsia" w:ascii="仿宋_GB2312" w:hAnsi="仿宋_GB2312" w:eastAsia="仿宋_GB2312" w:cs="仿宋_GB2312"/>
          <w:sz w:val="28"/>
          <w:szCs w:val="28"/>
        </w:rPr>
        <w:t>包括城市区域声环境质量、城市道路交通声环境质量和城市功能区声环境质量监测。</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3.监测时间</w:t>
      </w:r>
      <w:bookmarkEnd w:id="293"/>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执行《环境噪声监测技术规范 城市声环境常规监测》（HJ640-2012）的规定。</w:t>
      </w:r>
    </w:p>
    <w:p>
      <w:pPr>
        <w:snapToGrid w:val="0"/>
        <w:spacing w:line="560" w:lineRule="exact"/>
        <w:ind w:firstLine="560" w:firstLineChars="200"/>
        <w:rPr>
          <w:rFonts w:ascii="仿宋_GB2312" w:hAnsi="仿宋_GB2312" w:eastAsia="仿宋_GB2312" w:cs="仿宋_GB2312"/>
          <w:sz w:val="28"/>
          <w:szCs w:val="28"/>
        </w:rPr>
      </w:pPr>
      <w:bookmarkStart w:id="294" w:name="_Toc446591021"/>
      <w:r>
        <w:rPr>
          <w:rFonts w:hint="eastAsia" w:ascii="仿宋_GB2312" w:hAnsi="仿宋_GB2312" w:eastAsia="仿宋_GB2312" w:cs="仿宋_GB2312"/>
          <w:sz w:val="28"/>
          <w:szCs w:val="28"/>
        </w:rPr>
        <w:t>（1）城市区域声环境质量监测</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开展1次昼间监测和1次夜间监测，每个测点监测10分钟。监测工作应安排在每年的春季或秋季。</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（2）城市道路交通声环境质量监测</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开展1次昼间监测和1次夜间监测，每个测点监测20分钟，记录并报送20min车流量(中小型车、大型车)。监测工作应安排在每年的春季或秋季。</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（3）城市功能区声环境质量监测</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每季度监测1次，每个点位连续监测24小时，每小时测量60min，监测工作应安排在工作日开展。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4.数据报送</w:t>
      </w:r>
      <w:bookmarkEnd w:id="294"/>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（1）城市区域声环境质量数据、城市道路交通声环境质量数据。</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生态科负责组织各分局开展相关监测工作，并于每年11月10日前通过湖北省噪声监测数据平台向省生态环境监测中心站报送全市县级城市区域声环境质量数据、道路交通声环境质量数据。上报数据应包括原始数据（每网格及每点的一组统计数据），有各县市统计值。同时上报各城市基本情况，包括人口、道路（长度、宽度）、车流量、建成区面积变化及网格情况，并填报网络声源、功能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（2）城市功能区声环境质量数据</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市生态环境局生态科负责组织各分局开展相关监测工作，并于每季度的第二个月25日前通过湖北省噪声监测数据平台及电子邮件向省生态环境监测中心站报送全市本季度县级城市功能区声环境质量监测数据。</w:t>
      </w:r>
      <w:bookmarkStart w:id="295" w:name="_Toc446591020"/>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5.质量保证</w:t>
      </w:r>
      <w:bookmarkEnd w:id="295"/>
      <w:r>
        <w:rPr>
          <w:rFonts w:hint="eastAsia" w:ascii="仿宋_GB2312" w:hAnsi="仿宋_GB2312" w:eastAsia="仿宋_GB2312" w:cs="仿宋_GB2312"/>
          <w:sz w:val="28"/>
          <w:szCs w:val="28"/>
        </w:rPr>
        <w:t>与质量控制</w:t>
      </w:r>
    </w:p>
    <w:p>
      <w:pPr>
        <w:topLinePunct/>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监测工作质量保证按照《声环境质量标准》（GB 3096-2008）《环境噪声监测技术规范城市声环境常规监测》（HJ 640-2012）的相关规定执行。</w:t>
      </w:r>
    </w:p>
    <w:p>
      <w:pPr>
        <w:pStyle w:val="2"/>
      </w:pPr>
    </w:p>
    <w:p>
      <w:pPr>
        <w:pStyle w:val="3"/>
      </w:pPr>
    </w:p>
    <w:p>
      <w:pPr>
        <w:pStyle w:val="2"/>
        <w:numPr>
          <w:ilvl w:val="0"/>
          <w:numId w:val="2"/>
        </w:numPr>
        <w:ind w:firstLine="643"/>
        <w:jc w:val="center"/>
        <w:outlineLvl w:val="0"/>
        <w:rPr>
          <w:rFonts w:ascii="黑体" w:hAnsi="黑体" w:eastAsia="黑体" w:cs="黑体"/>
          <w:b/>
          <w:bCs/>
          <w:sz w:val="32"/>
          <w:szCs w:val="32"/>
          <w:lang w:val="en-US"/>
        </w:rPr>
      </w:pPr>
      <w:bookmarkStart w:id="296" w:name="_Toc5652"/>
      <w:r>
        <w:rPr>
          <w:rFonts w:hint="eastAsia" w:ascii="黑体" w:hAnsi="黑体" w:eastAsia="黑体" w:cs="黑体"/>
          <w:b/>
          <w:bCs/>
          <w:sz w:val="32"/>
          <w:szCs w:val="32"/>
          <w:lang w:val="en-US"/>
        </w:rPr>
        <w:t>污染源监测</w:t>
      </w:r>
      <w:bookmarkEnd w:id="296"/>
    </w:p>
    <w:p>
      <w:pPr>
        <w:pStyle w:val="2"/>
        <w:ind w:firstLine="0" w:firstLineChars="0"/>
        <w:rPr>
          <w:rFonts w:ascii="仿宋_GB2312" w:hAnsi="仿宋_GB2312" w:eastAsia="仿宋_GB2312" w:cs="仿宋_GB2312"/>
          <w:sz w:val="28"/>
          <w:szCs w:val="28"/>
        </w:rPr>
      </w:pPr>
    </w:p>
    <w:p>
      <w:pPr>
        <w:pStyle w:val="4"/>
        <w:ind w:firstLine="600"/>
        <w:rPr>
          <w:sz w:val="30"/>
          <w:szCs w:val="30"/>
        </w:rPr>
      </w:pPr>
      <w:bookmarkStart w:id="297" w:name="_Toc62822076"/>
      <w:bookmarkStart w:id="298" w:name="_Toc1464"/>
      <w:r>
        <w:rPr>
          <w:rFonts w:hint="eastAsia"/>
          <w:sz w:val="30"/>
          <w:szCs w:val="30"/>
        </w:rPr>
        <w:t>（二十</w:t>
      </w:r>
      <w:r>
        <w:rPr>
          <w:rFonts w:hint="eastAsia"/>
          <w:sz w:val="30"/>
          <w:szCs w:val="30"/>
          <w:lang w:eastAsia="zh-CN"/>
        </w:rPr>
        <w:t>二</w:t>
      </w:r>
      <w:r>
        <w:rPr>
          <w:rFonts w:hint="eastAsia"/>
          <w:sz w:val="30"/>
          <w:szCs w:val="30"/>
        </w:rPr>
        <w:t>）污染源执法监测</w:t>
      </w:r>
      <w:bookmarkEnd w:id="297"/>
      <w:bookmarkEnd w:id="298"/>
    </w:p>
    <w:p>
      <w:pPr>
        <w:pStyle w:val="3"/>
        <w:spacing w:line="560" w:lineRule="exact"/>
        <w:ind w:firstLine="560" w:firstLineChars="200"/>
        <w:rPr>
          <w:rFonts w:hAnsi="仿宋_GB2312"/>
          <w:sz w:val="28"/>
          <w:szCs w:val="28"/>
        </w:rPr>
      </w:pPr>
      <w:r>
        <w:rPr>
          <w:rFonts w:hint="eastAsia" w:hAnsi="仿宋_GB2312"/>
          <w:bCs/>
          <w:sz w:val="28"/>
          <w:szCs w:val="28"/>
        </w:rPr>
        <w:t>1.</w:t>
      </w:r>
      <w:r>
        <w:rPr>
          <w:rFonts w:hint="eastAsia" w:hAnsi="仿宋_GB2312"/>
          <w:sz w:val="28"/>
          <w:szCs w:val="28"/>
        </w:rPr>
        <w:t>监测范围</w:t>
      </w:r>
    </w:p>
    <w:p>
      <w:pPr>
        <w:pStyle w:val="3"/>
        <w:spacing w:line="560" w:lineRule="exact"/>
        <w:ind w:firstLine="560" w:firstLineChars="200"/>
        <w:jc w:val="both"/>
        <w:rPr>
          <w:rFonts w:hAnsi="仿宋_GB2312"/>
          <w:sz w:val="28"/>
          <w:szCs w:val="28"/>
        </w:rPr>
      </w:pPr>
      <w:r>
        <w:rPr>
          <w:rFonts w:hint="eastAsia" w:hAnsi="仿宋_GB2312"/>
          <w:sz w:val="28"/>
          <w:szCs w:val="28"/>
        </w:rPr>
        <w:t>已核发排污许可证的企业(抽取比例不低于5%),出现超标行为的排污单位要作为主要执法监测对象。</w:t>
      </w:r>
    </w:p>
    <w:p>
      <w:pPr>
        <w:pStyle w:val="3"/>
        <w:spacing w:line="560" w:lineRule="exact"/>
        <w:ind w:firstLine="560" w:firstLineChars="200"/>
        <w:rPr>
          <w:rFonts w:hAnsi="仿宋_GB2312"/>
          <w:sz w:val="28"/>
          <w:szCs w:val="28"/>
        </w:rPr>
      </w:pPr>
      <w:r>
        <w:rPr>
          <w:rFonts w:hint="eastAsia" w:hAnsi="仿宋_GB2312"/>
          <w:sz w:val="28"/>
          <w:szCs w:val="28"/>
        </w:rPr>
        <w:t xml:space="preserve">2.监测项目 </w:t>
      </w:r>
    </w:p>
    <w:p>
      <w:pPr>
        <w:pStyle w:val="3"/>
        <w:spacing w:line="560" w:lineRule="exact"/>
        <w:ind w:firstLine="560" w:firstLineChars="200"/>
        <w:jc w:val="both"/>
        <w:rPr>
          <w:rFonts w:hAnsi="仿宋_GB2312"/>
          <w:sz w:val="28"/>
          <w:szCs w:val="28"/>
        </w:rPr>
      </w:pPr>
      <w:r>
        <w:rPr>
          <w:rFonts w:hint="eastAsia" w:hAnsi="仿宋_GB2312"/>
          <w:sz w:val="28"/>
          <w:szCs w:val="28"/>
        </w:rPr>
        <w:t>按照排放标准、环评及批复和排污许可证等要求确定监测项目。</w:t>
      </w:r>
    </w:p>
    <w:p>
      <w:pPr>
        <w:pStyle w:val="3"/>
        <w:spacing w:line="560" w:lineRule="exact"/>
        <w:ind w:firstLine="560" w:firstLineChars="200"/>
        <w:rPr>
          <w:rFonts w:hAnsi="仿宋_GB2312"/>
          <w:sz w:val="28"/>
          <w:szCs w:val="28"/>
        </w:rPr>
      </w:pPr>
      <w:r>
        <w:rPr>
          <w:rFonts w:hint="eastAsia" w:hAnsi="仿宋_GB2312"/>
          <w:sz w:val="28"/>
          <w:szCs w:val="28"/>
        </w:rPr>
        <w:t>3.监测频次</w:t>
      </w:r>
    </w:p>
    <w:p>
      <w:pPr>
        <w:pStyle w:val="3"/>
        <w:spacing w:line="560" w:lineRule="exact"/>
        <w:ind w:firstLine="560" w:firstLineChars="200"/>
        <w:jc w:val="both"/>
        <w:rPr>
          <w:rFonts w:hAnsi="仿宋_GB2312"/>
          <w:sz w:val="28"/>
          <w:szCs w:val="28"/>
        </w:rPr>
      </w:pPr>
      <w:r>
        <w:rPr>
          <w:rFonts w:hint="eastAsia" w:hAnsi="仿宋_GB2312"/>
          <w:sz w:val="28"/>
          <w:szCs w:val="28"/>
        </w:rPr>
        <w:t>根据生态环境监管需要每年至少一次，对于监测超标的排污单位，可适当增加监测频次。</w:t>
      </w:r>
    </w:p>
    <w:p>
      <w:pPr>
        <w:pStyle w:val="3"/>
        <w:spacing w:line="560" w:lineRule="exact"/>
        <w:ind w:firstLine="560" w:firstLineChars="200"/>
        <w:rPr>
          <w:rFonts w:hAnsi="仿宋_GB2312"/>
          <w:sz w:val="28"/>
          <w:szCs w:val="28"/>
        </w:rPr>
      </w:pPr>
      <w:r>
        <w:rPr>
          <w:rFonts w:hint="eastAsia" w:hAnsi="仿宋_GB2312"/>
          <w:sz w:val="28"/>
          <w:szCs w:val="28"/>
        </w:rPr>
        <w:t>4.工作方式</w:t>
      </w:r>
    </w:p>
    <w:p>
      <w:pPr>
        <w:pStyle w:val="3"/>
        <w:spacing w:line="560" w:lineRule="exact"/>
        <w:ind w:firstLine="560" w:firstLineChars="200"/>
        <w:jc w:val="both"/>
        <w:rPr>
          <w:rFonts w:hAnsi="仿宋_GB2312"/>
          <w:sz w:val="28"/>
          <w:szCs w:val="28"/>
        </w:rPr>
      </w:pPr>
      <w:r>
        <w:rPr>
          <w:rFonts w:hint="eastAsia" w:hAnsi="仿宋_GB2312"/>
          <w:sz w:val="28"/>
          <w:szCs w:val="28"/>
        </w:rPr>
        <w:t>按照“测管协同”的原则，由市生态环境生态科根据管理需求统筹安排、执法部门明确分工、密切配合，采取现场评估、抽测和比对监测等方式系统开展环境执法，制作相应笔录。</w:t>
      </w:r>
    </w:p>
    <w:p>
      <w:pPr>
        <w:pStyle w:val="3"/>
        <w:spacing w:line="560" w:lineRule="exact"/>
        <w:ind w:firstLine="560" w:firstLineChars="200"/>
        <w:rPr>
          <w:rFonts w:hAnsi="仿宋_GB2312"/>
          <w:sz w:val="28"/>
          <w:szCs w:val="28"/>
        </w:rPr>
      </w:pPr>
      <w:r>
        <w:rPr>
          <w:rFonts w:hint="eastAsia" w:hAnsi="仿宋_GB2312"/>
          <w:sz w:val="28"/>
          <w:szCs w:val="28"/>
        </w:rPr>
        <w:t>5.数据报送</w:t>
      </w:r>
    </w:p>
    <w:p>
      <w:pPr>
        <w:pStyle w:val="3"/>
        <w:spacing w:line="560" w:lineRule="exact"/>
        <w:ind w:firstLine="560" w:firstLineChars="200"/>
        <w:jc w:val="both"/>
        <w:rPr>
          <w:rFonts w:hAnsi="仿宋_GB2312"/>
          <w:sz w:val="28"/>
          <w:szCs w:val="28"/>
        </w:rPr>
      </w:pPr>
      <w:r>
        <w:rPr>
          <w:rFonts w:hint="eastAsia" w:hAnsi="仿宋_GB2312"/>
          <w:sz w:val="28"/>
          <w:szCs w:val="28"/>
        </w:rPr>
        <w:t>在完成执法监测工作后5个工作日内，市生态环境生态科组织登录湖北省污染源监测信息管理与共享系统（以下简称污染源管理系统）完成数据填报并进行信息公开。发现超标监测结果时，需进一步调查核实。</w:t>
      </w:r>
    </w:p>
    <w:p>
      <w:pPr>
        <w:pStyle w:val="3"/>
        <w:spacing w:line="560" w:lineRule="exact"/>
        <w:ind w:firstLine="560" w:firstLineChars="200"/>
        <w:jc w:val="both"/>
        <w:rPr>
          <w:rFonts w:hAnsi="仿宋_GB2312"/>
          <w:sz w:val="28"/>
          <w:szCs w:val="28"/>
        </w:rPr>
      </w:pPr>
      <w:r>
        <w:rPr>
          <w:rFonts w:hint="eastAsia" w:hAnsi="仿宋_GB2312"/>
          <w:sz w:val="28"/>
          <w:szCs w:val="28"/>
        </w:rPr>
        <w:t>市生态环境局生态科分别于每年6月20日及12月20日前组织登录污染源管理系统，完成本行政区域内上、下半年执法监测信息填报规范性的在线审核，并编制本行政区域内半年和年度污染源执法监测报告，分别于每年7月20日和次年1月20日前报送省厅，电子件发送到hbhbtjcc@163.com。</w:t>
      </w:r>
    </w:p>
    <w:p>
      <w:pPr>
        <w:pStyle w:val="3"/>
        <w:spacing w:line="560" w:lineRule="exact"/>
        <w:ind w:firstLine="560" w:firstLineChars="200"/>
        <w:jc w:val="both"/>
        <w:rPr>
          <w:rFonts w:hAnsi="仿宋_GB2312"/>
          <w:sz w:val="28"/>
          <w:szCs w:val="28"/>
        </w:rPr>
      </w:pPr>
      <w:r>
        <w:rPr>
          <w:rFonts w:hint="eastAsia" w:hAnsi="仿宋_GB2312"/>
          <w:sz w:val="28"/>
          <w:szCs w:val="28"/>
        </w:rPr>
        <w:t>市生态环境局生态科负责收集、汇总污染源执法监测数据，加强污染源执法监测结果的综合分析与报告。</w:t>
      </w:r>
    </w:p>
    <w:p>
      <w:pPr>
        <w:pStyle w:val="3"/>
        <w:spacing w:line="560" w:lineRule="exact"/>
        <w:ind w:firstLine="560" w:firstLineChars="200"/>
        <w:rPr>
          <w:rFonts w:hAnsi="仿宋_GB2312"/>
          <w:sz w:val="28"/>
          <w:szCs w:val="28"/>
        </w:rPr>
      </w:pPr>
      <w:r>
        <w:rPr>
          <w:rFonts w:hint="eastAsia" w:hAnsi="仿宋_GB2312"/>
          <w:sz w:val="28"/>
          <w:szCs w:val="28"/>
        </w:rPr>
        <w:t>6.质量保证与质量控制</w:t>
      </w:r>
    </w:p>
    <w:p>
      <w:pPr>
        <w:pStyle w:val="3"/>
        <w:spacing w:line="560" w:lineRule="exact"/>
        <w:ind w:firstLine="560" w:firstLineChars="200"/>
        <w:jc w:val="both"/>
        <w:rPr>
          <w:rFonts w:hAnsi="仿宋_GB2312"/>
          <w:sz w:val="28"/>
          <w:szCs w:val="28"/>
        </w:rPr>
      </w:pPr>
      <w:r>
        <w:rPr>
          <w:rFonts w:hint="eastAsia" w:hAnsi="仿宋_GB2312"/>
          <w:sz w:val="28"/>
          <w:szCs w:val="28"/>
        </w:rPr>
        <w:t>承担执法监测任务的生态环境监测机构要严格按照环境监测技术规范要求开展污染源监测。</w:t>
      </w:r>
    </w:p>
    <w:p>
      <w:pPr>
        <w:pStyle w:val="4"/>
        <w:ind w:firstLine="600"/>
      </w:pPr>
      <w:bookmarkStart w:id="299" w:name="_Toc62042968"/>
      <w:bookmarkStart w:id="300" w:name="_Toc62822077"/>
      <w:bookmarkStart w:id="301" w:name="_Toc113"/>
      <w:r>
        <w:rPr>
          <w:rFonts w:hint="eastAsia"/>
          <w:sz w:val="30"/>
          <w:szCs w:val="30"/>
        </w:rPr>
        <w:t>（二十</w:t>
      </w:r>
      <w:r>
        <w:rPr>
          <w:rFonts w:hint="eastAsia"/>
          <w:sz w:val="30"/>
          <w:szCs w:val="30"/>
          <w:lang w:eastAsia="zh-CN"/>
        </w:rPr>
        <w:t>三</w:t>
      </w:r>
      <w:r>
        <w:rPr>
          <w:rFonts w:hint="eastAsia"/>
          <w:sz w:val="30"/>
          <w:szCs w:val="30"/>
        </w:rPr>
        <w:t>）排污单位自行监测</w:t>
      </w:r>
      <w:bookmarkEnd w:id="299"/>
      <w:bookmarkEnd w:id="300"/>
      <w:bookmarkEnd w:id="301"/>
    </w:p>
    <w:p>
      <w:pPr>
        <w:pStyle w:val="4"/>
        <w:ind w:firstLine="600"/>
        <w:rPr>
          <w:rFonts w:hint="eastAsia" w:hAnsi="仿宋_GB2312"/>
          <w:sz w:val="28"/>
          <w:szCs w:val="28"/>
        </w:rPr>
      </w:pPr>
      <w:bookmarkStart w:id="302" w:name="_Toc14149"/>
      <w:bookmarkStart w:id="303" w:name="_Toc13254"/>
      <w:r>
        <w:rPr>
          <w:rFonts w:hint="eastAsia"/>
          <w:sz w:val="28"/>
          <w:szCs w:val="28"/>
          <w:lang w:eastAsia="zh-CN"/>
        </w:rPr>
        <w:t>（一）</w:t>
      </w:r>
      <w:r>
        <w:rPr>
          <w:rFonts w:hint="eastAsia"/>
          <w:sz w:val="28"/>
          <w:szCs w:val="28"/>
        </w:rPr>
        <w:t>排污单位自行监测专项检查</w:t>
      </w:r>
      <w:bookmarkEnd w:id="302"/>
      <w:bookmarkEnd w:id="303"/>
    </w:p>
    <w:p>
      <w:pPr>
        <w:pStyle w:val="3"/>
        <w:spacing w:line="560" w:lineRule="exact"/>
        <w:ind w:firstLine="560" w:firstLineChars="200"/>
        <w:rPr>
          <w:rFonts w:hAnsi="仿宋_GB2312"/>
          <w:sz w:val="28"/>
          <w:szCs w:val="28"/>
        </w:rPr>
      </w:pPr>
      <w:r>
        <w:rPr>
          <w:rFonts w:hint="eastAsia" w:hAnsi="仿宋_GB2312"/>
          <w:sz w:val="28"/>
          <w:szCs w:val="28"/>
        </w:rPr>
        <w:t>1.检查范围</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已核发排污许可证的企业，包括医疗机构、城镇（园区）污水纳管企业等。</w:t>
      </w:r>
    </w:p>
    <w:p>
      <w:pPr>
        <w:pStyle w:val="3"/>
        <w:spacing w:line="560" w:lineRule="exact"/>
        <w:ind w:firstLine="560" w:firstLineChars="200"/>
        <w:rPr>
          <w:rFonts w:hAnsi="仿宋_GB2312"/>
          <w:sz w:val="28"/>
          <w:szCs w:val="28"/>
        </w:rPr>
      </w:pPr>
      <w:r>
        <w:rPr>
          <w:rFonts w:hint="eastAsia" w:hAnsi="仿宋_GB2312"/>
          <w:bCs/>
          <w:sz w:val="28"/>
          <w:szCs w:val="28"/>
        </w:rPr>
        <w:t>2.检查内容</w:t>
      </w:r>
    </w:p>
    <w:p>
      <w:pPr>
        <w:pStyle w:val="3"/>
        <w:spacing w:line="560" w:lineRule="exact"/>
        <w:ind w:firstLine="560" w:firstLineChars="200"/>
        <w:jc w:val="both"/>
        <w:rPr>
          <w:rFonts w:hAnsi="仿宋_GB2312"/>
          <w:sz w:val="28"/>
          <w:szCs w:val="28"/>
        </w:rPr>
      </w:pPr>
      <w:r>
        <w:rPr>
          <w:rFonts w:hint="eastAsia" w:hAnsi="仿宋_GB2312"/>
          <w:sz w:val="28"/>
          <w:szCs w:val="28"/>
        </w:rPr>
        <w:t>按照《排污单位自行监测技术指南总则》和行业排污单位自行监测技术指南，重点评估：排污许可证中载明的自行监测方案与相关自行监测技术指南的一致性；排污单位自行监测开展情况与自行监测方案的一致性；自行监测行为与相关监测技术规范要求的符合性，包括自行开展手工监测的规范性、委托监测的合规性和自动监测系统安装和维护的规范性；自行监测结果信息公开的及时性和规范性。</w:t>
      </w:r>
    </w:p>
    <w:p>
      <w:pPr>
        <w:pStyle w:val="3"/>
        <w:spacing w:line="560" w:lineRule="exact"/>
        <w:ind w:firstLine="560" w:firstLineChars="200"/>
        <w:jc w:val="both"/>
        <w:rPr>
          <w:rFonts w:hAnsi="仿宋_GB2312"/>
          <w:sz w:val="28"/>
          <w:szCs w:val="28"/>
        </w:rPr>
      </w:pPr>
      <w:r>
        <w:rPr>
          <w:rFonts w:hint="eastAsia" w:hAnsi="仿宋_GB2312"/>
          <w:sz w:val="28"/>
          <w:szCs w:val="28"/>
        </w:rPr>
        <w:t>委托社会检测机构开展自行监测的企业，必要时可赴实验室开展现场检查，检查内容可包括监测人员持证、监测设备、试剂消耗、方法选用、实验室环境等。</w:t>
      </w:r>
    </w:p>
    <w:p>
      <w:pPr>
        <w:pStyle w:val="3"/>
        <w:spacing w:line="560" w:lineRule="exact"/>
        <w:ind w:firstLine="560" w:firstLineChars="200"/>
        <w:jc w:val="both"/>
        <w:rPr>
          <w:rFonts w:hAnsi="仿宋_GB2312"/>
          <w:sz w:val="28"/>
          <w:szCs w:val="28"/>
        </w:rPr>
      </w:pPr>
      <w:r>
        <w:rPr>
          <w:rFonts w:hint="eastAsia" w:hAnsi="仿宋_GB2312"/>
          <w:sz w:val="28"/>
          <w:szCs w:val="28"/>
        </w:rPr>
        <w:t>排污单位在申领排污许可证三个月后要进行自我量化评估，评估情况应存档备查。</w:t>
      </w:r>
    </w:p>
    <w:p>
      <w:pPr>
        <w:pStyle w:val="3"/>
        <w:spacing w:line="560" w:lineRule="exact"/>
        <w:ind w:firstLine="560" w:firstLineChars="200"/>
        <w:rPr>
          <w:rFonts w:hAnsi="仿宋_GB2312"/>
          <w:sz w:val="28"/>
          <w:szCs w:val="28"/>
        </w:rPr>
      </w:pPr>
      <w:r>
        <w:rPr>
          <w:rFonts w:hint="eastAsia" w:hAnsi="仿宋_GB2312"/>
          <w:bCs/>
          <w:sz w:val="28"/>
          <w:szCs w:val="28"/>
        </w:rPr>
        <w:t>3.检查要求</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按照“时间随机，对象随机”的原则，组织抽查涉自行监测的发证企业为主，比例不少于5%。</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4.</w:t>
      </w:r>
      <w:r>
        <w:rPr>
          <w:rFonts w:hint="eastAsia" w:ascii="仿宋_GB2312" w:hAnsi="仿宋_GB2312" w:eastAsia="仿宋_GB2312" w:cs="仿宋_GB2312"/>
          <w:bCs/>
          <w:color w:val="000000"/>
          <w:kern w:val="0"/>
          <w:sz w:val="28"/>
          <w:szCs w:val="28"/>
        </w:rPr>
        <w:t>任务分工</w:t>
      </w:r>
    </w:p>
    <w:p>
      <w:pPr>
        <w:pStyle w:val="3"/>
        <w:spacing w:line="560" w:lineRule="exact"/>
        <w:ind w:firstLine="560" w:firstLineChars="200"/>
        <w:rPr>
          <w:rFonts w:hAnsi="仿宋_GB2312"/>
          <w:sz w:val="28"/>
          <w:szCs w:val="28"/>
        </w:rPr>
      </w:pPr>
      <w:r>
        <w:rPr>
          <w:rFonts w:hint="eastAsia" w:hAnsi="仿宋_GB2312"/>
          <w:sz w:val="28"/>
          <w:szCs w:val="28"/>
        </w:rPr>
        <w:t>原则上按照“谁发证、谁监管”的要求开展检查工作，必要时应组织各县（市、区）采取交叉检查、集中帮扶指导等方式提升检查效果。</w:t>
      </w:r>
    </w:p>
    <w:p>
      <w:pPr>
        <w:pStyle w:val="3"/>
        <w:spacing w:line="560" w:lineRule="exact"/>
        <w:ind w:firstLine="560" w:firstLineChars="200"/>
        <w:jc w:val="both"/>
        <w:rPr>
          <w:rFonts w:hAnsi="仿宋_GB2312"/>
          <w:sz w:val="28"/>
          <w:szCs w:val="28"/>
        </w:rPr>
      </w:pPr>
      <w:r>
        <w:rPr>
          <w:rFonts w:hint="eastAsia" w:hAnsi="仿宋_GB2312"/>
          <w:bCs/>
          <w:sz w:val="28"/>
          <w:szCs w:val="28"/>
        </w:rPr>
        <w:t>5.数据报送</w:t>
      </w:r>
    </w:p>
    <w:p>
      <w:pPr>
        <w:pStyle w:val="3"/>
        <w:spacing w:line="560" w:lineRule="exact"/>
        <w:ind w:firstLine="560" w:firstLineChars="200"/>
        <w:jc w:val="both"/>
        <w:rPr>
          <w:rFonts w:hint="eastAsia" w:hAnsi="仿宋_GB2312"/>
          <w:color w:val="auto"/>
          <w:sz w:val="28"/>
          <w:szCs w:val="28"/>
          <w:u w:val="none"/>
        </w:rPr>
      </w:pPr>
      <w:r>
        <w:rPr>
          <w:rFonts w:hint="eastAsia" w:hAnsi="仿宋_GB2312"/>
          <w:color w:val="auto"/>
          <w:sz w:val="28"/>
          <w:szCs w:val="28"/>
          <w:u w:val="none"/>
        </w:rPr>
        <w:fldChar w:fldCharType="begin"/>
      </w:r>
      <w:r>
        <w:rPr>
          <w:rFonts w:hint="eastAsia" w:hAnsi="仿宋_GB2312"/>
          <w:color w:val="auto"/>
          <w:sz w:val="28"/>
          <w:szCs w:val="28"/>
          <w:u w:val="none"/>
        </w:rPr>
        <w:instrText xml:space="preserve"> HYPERLINK "mailto:市生态环境局生态科分别于每年7月20日和次年1月20日前，将半年和年度本行政区域内自行监测检查报告报送省厅，电子件发送至hbhbtjcc@163.com。" </w:instrText>
      </w:r>
      <w:r>
        <w:rPr>
          <w:rFonts w:hint="eastAsia" w:hAnsi="仿宋_GB2312"/>
          <w:color w:val="auto"/>
          <w:sz w:val="28"/>
          <w:szCs w:val="28"/>
          <w:u w:val="none"/>
        </w:rPr>
        <w:fldChar w:fldCharType="separate"/>
      </w:r>
      <w:r>
        <w:rPr>
          <w:rStyle w:val="25"/>
          <w:rFonts w:hint="eastAsia" w:hAnsi="仿宋_GB2312"/>
          <w:color w:val="auto"/>
          <w:sz w:val="28"/>
          <w:szCs w:val="28"/>
          <w:u w:val="none"/>
        </w:rPr>
        <w:t>市生态环境局生态科分别于每年7月20日和次年1月20日前，将半年和年度本行政区域内自行监测检查报告报送省厅，电子件发送至hbhbtjcc@163.com。</w:t>
      </w:r>
      <w:bookmarkStart w:id="304" w:name="_Toc62042969"/>
      <w:bookmarkStart w:id="305" w:name="_Toc62822078"/>
      <w:r>
        <w:rPr>
          <w:rFonts w:hint="eastAsia" w:hAnsi="仿宋_GB2312"/>
          <w:color w:val="auto"/>
          <w:sz w:val="28"/>
          <w:szCs w:val="28"/>
          <w:u w:val="none"/>
        </w:rPr>
        <w:fldChar w:fldCharType="end"/>
      </w:r>
    </w:p>
    <w:p>
      <w:pPr>
        <w:pStyle w:val="4"/>
        <w:ind w:firstLine="600"/>
        <w:rPr>
          <w:rFonts w:ascii="Times New Roman" w:hAnsi="Times New Roman" w:cs="Times New Roman"/>
          <w:color w:val="000000"/>
          <w:kern w:val="0"/>
          <w:sz w:val="28"/>
          <w:szCs w:val="28"/>
        </w:rPr>
      </w:pPr>
      <w:bookmarkStart w:id="306" w:name="_Toc16201"/>
      <w:bookmarkStart w:id="307" w:name="_Toc28153"/>
      <w:r>
        <w:rPr>
          <w:rFonts w:hint="eastAsia"/>
          <w:sz w:val="28"/>
          <w:szCs w:val="28"/>
          <w:lang w:eastAsia="zh-CN"/>
        </w:rPr>
        <w:t>（二）</w:t>
      </w:r>
      <w:r>
        <w:rPr>
          <w:rFonts w:hint="eastAsia"/>
          <w:sz w:val="28"/>
          <w:szCs w:val="28"/>
        </w:rPr>
        <w:t>规模化养殖场自行监测</w:t>
      </w:r>
      <w:bookmarkEnd w:id="306"/>
      <w:bookmarkEnd w:id="307"/>
    </w:p>
    <w:p>
      <w:pPr>
        <w:spacing w:line="560" w:lineRule="exact"/>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1.监测范围</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年出栏生猪5000头（其他畜禽种类折合猪的养殖规模）及以上的规模化畜禽养殖场。连片占地面积大于300亩及以上的规模化水产养殖场。</w:t>
      </w:r>
    </w:p>
    <w:p>
      <w:pPr>
        <w:tabs>
          <w:tab w:val="left" w:pos="855"/>
          <w:tab w:val="left" w:pos="1440"/>
        </w:tabs>
        <w:spacing w:line="560" w:lineRule="exact"/>
        <w:jc w:val="center"/>
        <w:rPr>
          <w:rFonts w:ascii="方正小标宋简体" w:eastAsia="方正小标宋简体"/>
          <w:sz w:val="24"/>
          <w:szCs w:val="24"/>
        </w:rPr>
      </w:pPr>
      <w:r>
        <w:rPr>
          <w:rFonts w:hint="eastAsia" w:ascii="黑体" w:hAnsi="黑体" w:eastAsia="黑体" w:cs="黑体"/>
          <w:color w:val="000000"/>
          <w:sz w:val="24"/>
          <w:szCs w:val="24"/>
        </w:rPr>
        <w:t>表</w:t>
      </w:r>
      <w:r>
        <w:rPr>
          <w:rFonts w:hint="eastAsia" w:ascii="黑体" w:hAnsi="黑体" w:eastAsia="黑体" w:cs="黑体"/>
          <w:color w:val="000000"/>
          <w:sz w:val="24"/>
          <w:szCs w:val="24"/>
          <w:lang w:val="en-US" w:eastAsia="zh-CN"/>
        </w:rPr>
        <w:t>18</w:t>
      </w:r>
      <w:r>
        <w:rPr>
          <w:rFonts w:hint="eastAsia" w:ascii="黑体" w:hAnsi="黑体" w:eastAsia="黑体" w:cs="黑体"/>
          <w:color w:val="000000"/>
          <w:sz w:val="24"/>
          <w:szCs w:val="24"/>
        </w:rPr>
        <w:t xml:space="preserve"> </w:t>
      </w:r>
      <w:r>
        <w:rPr>
          <w:rFonts w:hint="eastAsia" w:ascii="黑体" w:hAnsi="黑体" w:eastAsia="黑体" w:cs="黑体"/>
          <w:sz w:val="24"/>
          <w:szCs w:val="24"/>
        </w:rPr>
        <w:t>咸宁市规模化畜禽养殖自行监测名单</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374"/>
        <w:gridCol w:w="1374"/>
        <w:gridCol w:w="1374"/>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blHeade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778" w:type="pct"/>
            <w:vAlign w:val="center"/>
          </w:tcPr>
          <w:p>
            <w:pPr>
              <w:tabs>
                <w:tab w:val="left" w:pos="855"/>
                <w:tab w:val="left" w:pos="1440"/>
              </w:tabs>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县市区</w:t>
            </w:r>
          </w:p>
        </w:tc>
        <w:tc>
          <w:tcPr>
            <w:tcW w:w="778" w:type="pct"/>
            <w:vAlign w:val="center"/>
          </w:tcPr>
          <w:p>
            <w:pPr>
              <w:tabs>
                <w:tab w:val="left" w:pos="855"/>
                <w:tab w:val="left" w:pos="1440"/>
              </w:tabs>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乡 镇</w:t>
            </w:r>
          </w:p>
        </w:tc>
        <w:tc>
          <w:tcPr>
            <w:tcW w:w="778" w:type="pct"/>
            <w:vAlign w:val="center"/>
          </w:tcPr>
          <w:p>
            <w:pPr>
              <w:tabs>
                <w:tab w:val="left" w:pos="855"/>
                <w:tab w:val="left" w:pos="1440"/>
              </w:tabs>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村</w:t>
            </w:r>
          </w:p>
        </w:tc>
        <w:tc>
          <w:tcPr>
            <w:tcW w:w="2086" w:type="pct"/>
            <w:vAlign w:val="center"/>
          </w:tcPr>
          <w:p>
            <w:pPr>
              <w:tabs>
                <w:tab w:val="left" w:pos="855"/>
                <w:tab w:val="left" w:pos="1440"/>
              </w:tabs>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咸安区</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贺胜桥镇</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桃林村</w:t>
            </w:r>
          </w:p>
        </w:tc>
        <w:tc>
          <w:tcPr>
            <w:tcW w:w="208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咸宁市贺胜温氏禽畜有限公司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咸安区</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汀泗桥镇</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彭碑村</w:t>
            </w:r>
          </w:p>
        </w:tc>
        <w:tc>
          <w:tcPr>
            <w:tcW w:w="208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咸宁温氏畜牧有限公司彭碑猪场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咸安区</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汀泗桥镇</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马鞍村</w:t>
            </w:r>
          </w:p>
        </w:tc>
        <w:tc>
          <w:tcPr>
            <w:tcW w:w="208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咸宁温氏畜牧有限公司马鞍猪场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咸安区</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高桥镇</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澄水洞村</w:t>
            </w:r>
          </w:p>
        </w:tc>
        <w:tc>
          <w:tcPr>
            <w:tcW w:w="208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湖北新今农农牧股份有限公司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咸安区</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双溪桥镇</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九彬村</w:t>
            </w:r>
          </w:p>
        </w:tc>
        <w:tc>
          <w:tcPr>
            <w:tcW w:w="208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咸宁温氏畜牧有限公司九彬猪场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咸安区</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汀泗桥镇</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黄荆塘村</w:t>
            </w:r>
          </w:p>
        </w:tc>
        <w:tc>
          <w:tcPr>
            <w:tcW w:w="208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咸宁市神童牧业有限责任公司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咸安区</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汀泗桥镇</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彭碑村</w:t>
            </w:r>
          </w:p>
        </w:tc>
        <w:tc>
          <w:tcPr>
            <w:tcW w:w="2086"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咸宁温氏家禽育种有限公司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赤壁市</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赤壁镇</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小柏山村</w:t>
            </w:r>
          </w:p>
        </w:tc>
        <w:tc>
          <w:tcPr>
            <w:tcW w:w="2086"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赤壁市景鸿牧业有限公司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崇阳县</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青山镇</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磨刀村</w:t>
            </w:r>
          </w:p>
        </w:tc>
        <w:tc>
          <w:tcPr>
            <w:tcW w:w="2086"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丹育（湖北）牲畜科技有限公司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崇阳县</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桂花泉镇</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官庄村</w:t>
            </w:r>
          </w:p>
        </w:tc>
        <w:tc>
          <w:tcPr>
            <w:tcW w:w="2086"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湖北永夫生态农业有限公司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崇阳县</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石城镇</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石门村</w:t>
            </w:r>
          </w:p>
        </w:tc>
        <w:tc>
          <w:tcPr>
            <w:tcW w:w="2086"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崇阳甫门农牧有限公司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崇阳县</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石城镇</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石门村</w:t>
            </w:r>
          </w:p>
        </w:tc>
        <w:tc>
          <w:tcPr>
            <w:tcW w:w="2086"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湖北文雄生态农业有限公司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778" w:type="pct"/>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崇阳县</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白霓镇</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后溪村</w:t>
            </w:r>
          </w:p>
        </w:tc>
        <w:tc>
          <w:tcPr>
            <w:tcW w:w="2086"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湖北示阳农牧股份有限公司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通山县</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黄沙铺镇</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中通村</w:t>
            </w:r>
          </w:p>
        </w:tc>
        <w:tc>
          <w:tcPr>
            <w:tcW w:w="2086"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通山新康牧业有限公司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通山县</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九宫山镇</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富有村</w:t>
            </w:r>
          </w:p>
        </w:tc>
        <w:tc>
          <w:tcPr>
            <w:tcW w:w="2086"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湖北富园牧业有限公司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通山县</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九宫山镇</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富有村</w:t>
            </w:r>
          </w:p>
        </w:tc>
        <w:tc>
          <w:tcPr>
            <w:tcW w:w="2086"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通山富锦生态养殖股份有限公司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通山县</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大路乡</w:t>
            </w:r>
          </w:p>
        </w:tc>
        <w:tc>
          <w:tcPr>
            <w:tcW w:w="778"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山口村</w:t>
            </w:r>
          </w:p>
        </w:tc>
        <w:tc>
          <w:tcPr>
            <w:tcW w:w="2086" w:type="pct"/>
            <w:vAlign w:val="center"/>
          </w:tcPr>
          <w:p>
            <w:pPr>
              <w:tabs>
                <w:tab w:val="left" w:pos="855"/>
                <w:tab w:val="left" w:pos="1440"/>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通山林华种养殖有限公司</w:t>
            </w:r>
          </w:p>
        </w:tc>
      </w:tr>
    </w:tbl>
    <w:p>
      <w:pPr>
        <w:spacing w:line="560" w:lineRule="exact"/>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2.监测要求</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规模化畜禽养殖场和水产养殖场应开展自行监测。自行监测按照《排污单位自行监测技术指南总则》。《畜禽养殖业排污许可证》和《水产养殖业排污许可证》中的具体规定开展。规模化畜禽养殖场应符合《畜禽养殖业污染物排放标准》（GB18596-2001）的要求。规模化水产养殖场应符合《淡水池塘养殖水排放要求》（SC/T 9101-2007）和《海水养殖水排放要求》(SC/T 9103-2007)的要求。</w:t>
      </w:r>
    </w:p>
    <w:p>
      <w:pPr>
        <w:spacing w:line="560" w:lineRule="exact"/>
        <w:ind w:firstLine="560" w:firstLineChars="20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3.工作内容</w:t>
      </w:r>
    </w:p>
    <w:p>
      <w:pPr>
        <w:spacing w:line="560" w:lineRule="exact"/>
        <w:ind w:firstLine="560" w:firstLineChars="200"/>
        <w:rPr>
          <w:rFonts w:hint="eastAsia" w:hAnsi="仿宋_GB2312"/>
          <w:sz w:val="28"/>
          <w:szCs w:val="28"/>
        </w:rPr>
      </w:pPr>
      <w:r>
        <w:rPr>
          <w:rFonts w:hint="eastAsia" w:ascii="仿宋_GB2312" w:hAnsi="仿宋_GB2312" w:eastAsia="仿宋_GB2312" w:cs="仿宋_GB2312"/>
          <w:color w:val="000000"/>
          <w:sz w:val="28"/>
          <w:szCs w:val="28"/>
        </w:rPr>
        <w:t>规模化养殖场由各地生态环境分局督促企业自行监测或委托有资质的社会检测机构开展监测，并定期在各地自行监测平台上发布监测结果。</w:t>
      </w:r>
    </w:p>
    <w:p>
      <w:pPr>
        <w:pStyle w:val="4"/>
        <w:ind w:firstLine="600"/>
        <w:rPr>
          <w:sz w:val="30"/>
          <w:szCs w:val="30"/>
        </w:rPr>
      </w:pPr>
      <w:bookmarkStart w:id="308" w:name="_Toc18111"/>
      <w:r>
        <w:rPr>
          <w:rFonts w:hint="eastAsia"/>
          <w:sz w:val="30"/>
          <w:szCs w:val="30"/>
        </w:rPr>
        <w:t>（二十</w:t>
      </w:r>
      <w:r>
        <w:rPr>
          <w:rFonts w:hint="eastAsia"/>
          <w:sz w:val="30"/>
          <w:szCs w:val="30"/>
          <w:lang w:eastAsia="zh-CN"/>
        </w:rPr>
        <w:t>四</w:t>
      </w:r>
      <w:r>
        <w:rPr>
          <w:rFonts w:hint="eastAsia"/>
          <w:sz w:val="30"/>
          <w:szCs w:val="30"/>
        </w:rPr>
        <w:t>）固定污染源废气VOCs专项抽查抽测</w:t>
      </w:r>
      <w:bookmarkEnd w:id="304"/>
      <w:bookmarkEnd w:id="305"/>
      <w:bookmarkEnd w:id="308"/>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1.监测范围</w:t>
      </w:r>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VOCs排污单位。以石化、化工、工业涂装、包装印刷等行业为重点。</w:t>
      </w:r>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2.监测项目</w:t>
      </w:r>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必测项目为非甲烷总烃，选测项目可以根据已出台的VOCs排放标准确定。</w:t>
      </w:r>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3.监测频次</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按照《关于加强挥发性有机物监测工作的通知》（环办监测函〔2020〕335号）制定工作计划，根据相应工作计划及排放标准要求确定监测频次。</w:t>
      </w:r>
    </w:p>
    <w:p>
      <w:pPr>
        <w:autoSpaceDE w:val="0"/>
        <w:autoSpaceDN w:val="0"/>
        <w:adjustRightInd w:val="0"/>
        <w:spacing w:line="56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4.工作方式</w:t>
      </w:r>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市生态环境局生态科</w:t>
      </w:r>
      <w:r>
        <w:rPr>
          <w:rFonts w:hint="eastAsia" w:ascii="仿宋_GB2312" w:hAnsi="仿宋_GB2312" w:eastAsia="仿宋_GB2312" w:cs="仿宋_GB2312"/>
          <w:color w:val="000000"/>
          <w:kern w:val="0"/>
          <w:sz w:val="28"/>
          <w:szCs w:val="28"/>
        </w:rPr>
        <w:t>根据管理需求统筹安排，对本行政区域内排污单位VOCs自行监测情况开展抽查（可纳入排污单位自行监测专项检查），并按照已出台的VOCs排放标准开展抽测。</w:t>
      </w:r>
    </w:p>
    <w:p>
      <w:pPr>
        <w:spacing w:line="56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5.数据报送</w:t>
      </w:r>
    </w:p>
    <w:p>
      <w:pPr>
        <w:pStyle w:val="3"/>
        <w:spacing w:line="560" w:lineRule="exact"/>
        <w:ind w:firstLine="560" w:firstLineChars="200"/>
        <w:jc w:val="both"/>
        <w:rPr>
          <w:rFonts w:hAnsi="仿宋_GB2312"/>
          <w:sz w:val="28"/>
          <w:szCs w:val="28"/>
        </w:rPr>
      </w:pPr>
      <w:r>
        <w:rPr>
          <w:rFonts w:hint="eastAsia" w:hAnsi="仿宋_GB2312"/>
          <w:sz w:val="28"/>
          <w:szCs w:val="28"/>
        </w:rPr>
        <w:t>市生态环境局生态科分别于每年7月20日和次年1月20日前，将半年和年度本行政区域内抽查抽测报告报送省厅，电子件发送到hbhbtjcc@163.com。并登陆污染源管理系统进行填报。</w:t>
      </w:r>
    </w:p>
    <w:p>
      <w:pPr>
        <w:pStyle w:val="4"/>
        <w:ind w:firstLine="600"/>
        <w:rPr>
          <w:sz w:val="30"/>
          <w:szCs w:val="30"/>
        </w:rPr>
      </w:pPr>
      <w:bookmarkStart w:id="309" w:name="_Toc62042971"/>
      <w:bookmarkStart w:id="310" w:name="_Toc62822079"/>
      <w:bookmarkStart w:id="311" w:name="_Toc23165"/>
      <w:r>
        <w:rPr>
          <w:rFonts w:hint="eastAsia"/>
          <w:sz w:val="30"/>
          <w:szCs w:val="30"/>
        </w:rPr>
        <w:t>（二十</w:t>
      </w:r>
      <w:r>
        <w:rPr>
          <w:rFonts w:hint="eastAsia"/>
          <w:sz w:val="30"/>
          <w:szCs w:val="30"/>
          <w:lang w:eastAsia="zh-CN"/>
        </w:rPr>
        <w:t>五</w:t>
      </w:r>
      <w:r>
        <w:rPr>
          <w:rFonts w:hint="eastAsia"/>
          <w:sz w:val="30"/>
          <w:szCs w:val="30"/>
        </w:rPr>
        <w:t>）工业园区专项监测</w:t>
      </w:r>
      <w:bookmarkEnd w:id="309"/>
      <w:bookmarkEnd w:id="310"/>
      <w:bookmarkEnd w:id="311"/>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1.监测点位</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咸安区凤凰工业园空气站。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2.监测项目 </w:t>
      </w:r>
    </w:p>
    <w:p>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二氧化硫（SO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）、氮氧化物（NO-NO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-NO</w:t>
      </w:r>
      <w:r>
        <w:rPr>
          <w:rFonts w:hint="eastAsia" w:ascii="仿宋_GB2312" w:hAnsi="仿宋_GB2312" w:eastAsia="仿宋_GB2312" w:cs="仿宋_GB2312"/>
          <w:sz w:val="28"/>
          <w:szCs w:val="28"/>
          <w:vertAlign w:val="subscript"/>
        </w:rPr>
        <w:t>X</w:t>
      </w:r>
      <w:r>
        <w:rPr>
          <w:rFonts w:hint="eastAsia" w:ascii="仿宋_GB2312" w:hAnsi="仿宋_GB2312" w:eastAsia="仿宋_GB2312" w:cs="仿宋_GB2312"/>
          <w:sz w:val="28"/>
          <w:szCs w:val="28"/>
        </w:rPr>
        <w:t>）、可吸入颗粒物（PM</w:t>
      </w:r>
      <w:r>
        <w:rPr>
          <w:rFonts w:hint="eastAsia" w:ascii="仿宋_GB2312" w:hAnsi="仿宋_GB2312" w:eastAsia="仿宋_GB2312" w:cs="仿宋_GB2312"/>
          <w:sz w:val="28"/>
          <w:szCs w:val="28"/>
          <w:vertAlign w:val="subscript"/>
        </w:rPr>
        <w:t>10</w:t>
      </w:r>
      <w:r>
        <w:rPr>
          <w:rFonts w:hint="eastAsia" w:ascii="仿宋_GB2312" w:hAnsi="仿宋_GB2312" w:eastAsia="仿宋_GB2312" w:cs="仿宋_GB2312"/>
          <w:sz w:val="28"/>
          <w:szCs w:val="28"/>
        </w:rPr>
        <w:t>）、细颗粒物（PM</w:t>
      </w:r>
      <w:r>
        <w:rPr>
          <w:rFonts w:hint="eastAsia" w:ascii="仿宋_GB2312" w:hAnsi="仿宋_GB2312" w:eastAsia="仿宋_GB2312" w:cs="仿宋_GB2312"/>
          <w:sz w:val="28"/>
          <w:szCs w:val="28"/>
          <w:vertAlign w:val="subscript"/>
        </w:rPr>
        <w:t>2.5</w:t>
      </w:r>
      <w:r>
        <w:rPr>
          <w:rFonts w:hint="eastAsia" w:ascii="仿宋_GB2312" w:hAnsi="仿宋_GB2312" w:eastAsia="仿宋_GB2312" w:cs="仿宋_GB2312"/>
          <w:sz w:val="28"/>
          <w:szCs w:val="28"/>
        </w:rPr>
        <w:t>）、一氧化碳（CO）、臭氧（O</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）、气象五参数（温度、湿度、气压、风向、风速）；VOCs组分监测。</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3.监测频次 </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每天24小时连续监测。</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4.工作方式 </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市生态环境局生态科负责站点的运维工作，同时负责质量保证与质量控制工作。</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5.数据报送 </w:t>
      </w:r>
    </w:p>
    <w:p>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站点与省监测中心站联网。运维人员于每日14时前通过省监测中心站湖北省大气超级站组网综合分析平台进行数据审核。</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6.质量保证与质量控制</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依据《环境空气颗粒物（PM</w:t>
      </w:r>
      <w:r>
        <w:rPr>
          <w:rFonts w:hint="eastAsia" w:ascii="仿宋_GB2312" w:hAnsi="仿宋_GB2312" w:eastAsia="仿宋_GB2312" w:cs="仿宋_GB2312"/>
          <w:sz w:val="28"/>
          <w:szCs w:val="28"/>
          <w:vertAlign w:val="subscript"/>
        </w:rPr>
        <w:t>10</w:t>
      </w:r>
      <w:r>
        <w:rPr>
          <w:rFonts w:hint="eastAsia" w:ascii="仿宋_GB2312" w:hAnsi="仿宋_GB2312" w:eastAsia="仿宋_GB2312" w:cs="仿宋_GB2312"/>
          <w:sz w:val="28"/>
          <w:szCs w:val="28"/>
        </w:rPr>
        <w:t>和PM</w:t>
      </w:r>
      <w:r>
        <w:rPr>
          <w:rFonts w:hint="eastAsia" w:ascii="仿宋_GB2312" w:hAnsi="仿宋_GB2312" w:eastAsia="仿宋_GB2312" w:cs="仿宋_GB2312"/>
          <w:sz w:val="28"/>
          <w:szCs w:val="28"/>
          <w:vertAlign w:val="subscript"/>
        </w:rPr>
        <w:t>2.5</w:t>
      </w:r>
      <w:r>
        <w:rPr>
          <w:rFonts w:hint="eastAsia" w:ascii="仿宋_GB2312" w:hAnsi="仿宋_GB2312" w:eastAsia="仿宋_GB2312" w:cs="仿宋_GB2312"/>
          <w:sz w:val="28"/>
          <w:szCs w:val="28"/>
        </w:rPr>
        <w:t>）连续自动监测系统运行和质控技术规范》（HJ 817-2018）、《环境空气气态污染物（SO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、NO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、O</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、CO）连续自动监测系统运行和质控技术规范》（HJ 818-2018）、《环境空气自动监测标准传递管理规定（试行）》（环办监测函〔2017〕242号）、《环境空气自动监测O</w:t>
      </w:r>
      <w:r>
        <w:rPr>
          <w:rFonts w:hint="eastAsia" w:ascii="仿宋_GB2312" w:hAnsi="仿宋_GB2312" w:eastAsia="仿宋_GB2312" w:cs="仿宋_GB2312"/>
          <w:sz w:val="28"/>
          <w:szCs w:val="28"/>
          <w:vertAlign w:val="subscript"/>
        </w:rPr>
        <w:t>3</w:t>
      </w:r>
      <w:r>
        <w:rPr>
          <w:rFonts w:hint="eastAsia" w:ascii="仿宋_GB2312" w:hAnsi="仿宋_GB2312" w:eastAsia="仿宋_GB2312" w:cs="仿宋_GB2312"/>
          <w:sz w:val="28"/>
          <w:szCs w:val="28"/>
        </w:rPr>
        <w:t>标准传递工作实施方案》（环办监测函〔2017〕1620号）、《环境空气VOCs自动监测质控检查方案（试行）》开展质控工作。</w:t>
      </w:r>
    </w:p>
    <w:p>
      <w:pPr>
        <w:pStyle w:val="4"/>
        <w:ind w:firstLine="600"/>
      </w:pPr>
      <w:bookmarkStart w:id="312" w:name="_Toc62034035"/>
      <w:bookmarkEnd w:id="312"/>
      <w:bookmarkStart w:id="313" w:name="_Toc62042972"/>
      <w:bookmarkEnd w:id="313"/>
      <w:bookmarkStart w:id="314" w:name="_Toc62043043"/>
      <w:bookmarkStart w:id="315" w:name="_Toc62822080"/>
      <w:bookmarkStart w:id="316" w:name="_Toc26749"/>
      <w:r>
        <w:rPr>
          <w:rFonts w:hint="eastAsia"/>
          <w:sz w:val="30"/>
          <w:szCs w:val="30"/>
        </w:rPr>
        <w:t>（二十</w:t>
      </w:r>
      <w:r>
        <w:rPr>
          <w:rFonts w:hint="eastAsia"/>
          <w:sz w:val="30"/>
          <w:szCs w:val="30"/>
          <w:lang w:eastAsia="zh-CN"/>
        </w:rPr>
        <w:t>六</w:t>
      </w:r>
      <w:r>
        <w:rPr>
          <w:rFonts w:hint="eastAsia"/>
          <w:sz w:val="30"/>
          <w:szCs w:val="30"/>
        </w:rPr>
        <w:t>）长江经济带入河排污口监测</w:t>
      </w:r>
      <w:bookmarkEnd w:id="314"/>
      <w:bookmarkEnd w:id="315"/>
      <w:bookmarkEnd w:id="316"/>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1.监测范围</w:t>
      </w:r>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监测范围为长江经济带入河排污口。</w:t>
      </w:r>
    </w:p>
    <w:p>
      <w:pPr>
        <w:autoSpaceDE w:val="0"/>
        <w:autoSpaceDN w:val="0"/>
        <w:adjustRightInd w:val="0"/>
        <w:spacing w:line="560" w:lineRule="exact"/>
        <w:ind w:firstLine="560" w:firstLineChars="200"/>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2.监测项目</w:t>
      </w:r>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必测项目为流量、水温、pH、化学需氧量、氨氮、总氮、总磷，根据排污口类型确定若干项特征污染物作为选测项目。</w:t>
      </w:r>
    </w:p>
    <w:p>
      <w:pPr>
        <w:autoSpaceDE w:val="0"/>
        <w:autoSpaceDN w:val="0"/>
        <w:adjustRightInd w:val="0"/>
        <w:spacing w:line="56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3.监测频次</w:t>
      </w:r>
    </w:p>
    <w:p>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全年至少开展1次监测。对于监测超标的排污口，可适当增加监测频次。</w:t>
      </w:r>
    </w:p>
    <w:p>
      <w:pPr>
        <w:autoSpaceDE w:val="0"/>
        <w:autoSpaceDN w:val="0"/>
        <w:adjustRightInd w:val="0"/>
        <w:spacing w:line="56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4.数据报送</w:t>
      </w:r>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市生态环境局生态科负责组织开展相关监测工作，并在监测工作完成后5个工作日内，登录污染源管理系统完成数据填报，并及时汇总超标监测结果移交市生态环境局执法部门。</w:t>
      </w:r>
    </w:p>
    <w:p>
      <w:pPr>
        <w:autoSpaceDE w:val="0"/>
        <w:autoSpaceDN w:val="0"/>
        <w:adjustRightInd w:val="0"/>
        <w:spacing w:line="56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5.质量保证与质量控制</w:t>
      </w:r>
    </w:p>
    <w:p>
      <w:pPr>
        <w:autoSpaceDE w:val="0"/>
        <w:autoSpaceDN w:val="0"/>
        <w:adjustRightInd w:val="0"/>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承担监测任务的环境监测机构要严格按照环境监测技术规范要求开展污染源监测。</w:t>
      </w:r>
    </w:p>
    <w:p>
      <w:pPr>
        <w:pStyle w:val="2"/>
        <w:ind w:firstLine="560"/>
        <w:rPr>
          <w:rFonts w:ascii="仿宋_GB2312" w:hAnsi="仿宋_GB2312" w:eastAsia="仿宋_GB2312" w:cs="仿宋_GB2312"/>
          <w:sz w:val="28"/>
          <w:szCs w:val="28"/>
        </w:rPr>
      </w:pPr>
    </w:p>
    <w:p>
      <w:pPr>
        <w:pStyle w:val="2"/>
        <w:ind w:firstLine="560"/>
        <w:rPr>
          <w:rFonts w:ascii="仿宋_GB2312" w:hAnsi="仿宋_GB2312" w:eastAsia="仿宋_GB2312" w:cs="仿宋_GB2312"/>
          <w:sz w:val="28"/>
          <w:szCs w:val="28"/>
        </w:rPr>
      </w:pPr>
    </w:p>
    <w:p>
      <w:pPr>
        <w:pStyle w:val="3"/>
        <w:rPr>
          <w:rFonts w:ascii="仿宋_GB2312" w:hAnsi="仿宋_GB2312" w:eastAsia="仿宋_GB2312" w:cs="仿宋_GB2312"/>
          <w:sz w:val="28"/>
          <w:szCs w:val="28"/>
        </w:rPr>
      </w:pPr>
    </w:p>
    <w:p>
      <w:pPr>
        <w:pStyle w:val="3"/>
        <w:rPr>
          <w:rFonts w:ascii="仿宋_GB2312" w:hAnsi="仿宋_GB2312" w:eastAsia="仿宋_GB2312" w:cs="仿宋_GB2312"/>
          <w:sz w:val="28"/>
          <w:szCs w:val="28"/>
        </w:rPr>
      </w:pPr>
    </w:p>
    <w:p>
      <w:pPr>
        <w:pStyle w:val="2"/>
        <w:ind w:firstLine="0" w:firstLineChars="0"/>
        <w:jc w:val="center"/>
        <w:outlineLvl w:val="0"/>
        <w:rPr>
          <w:rFonts w:ascii="仿宋_GB2312" w:hAnsi="仿宋_GB2312" w:eastAsia="仿宋_GB2312" w:cs="仿宋_GB2312"/>
          <w:sz w:val="32"/>
          <w:szCs w:val="32"/>
        </w:rPr>
      </w:pPr>
      <w:bookmarkStart w:id="317" w:name="_Toc14464"/>
      <w:r>
        <w:rPr>
          <w:rFonts w:hint="eastAsia" w:ascii="黑体" w:hAnsi="黑体" w:eastAsia="黑体" w:cs="黑体"/>
          <w:b/>
          <w:bCs/>
          <w:sz w:val="32"/>
          <w:szCs w:val="32"/>
          <w:lang w:val="en-US"/>
        </w:rPr>
        <w:t>六、环境监测外部质量监督与检查</w:t>
      </w:r>
      <w:bookmarkEnd w:id="317"/>
    </w:p>
    <w:p>
      <w:pPr>
        <w:pStyle w:val="2"/>
        <w:ind w:firstLine="0" w:firstLineChars="0"/>
        <w:rPr>
          <w:rFonts w:ascii="仿宋_GB2312" w:hAnsi="仿宋_GB2312" w:eastAsia="仿宋_GB2312" w:cs="仿宋_GB2312"/>
          <w:sz w:val="28"/>
          <w:szCs w:val="28"/>
        </w:rPr>
      </w:pPr>
    </w:p>
    <w:p>
      <w:pPr>
        <w:pStyle w:val="4"/>
        <w:ind w:firstLine="600"/>
        <w:rPr>
          <w:sz w:val="30"/>
          <w:szCs w:val="30"/>
        </w:rPr>
      </w:pPr>
      <w:bookmarkStart w:id="318" w:name="_Toc59790157"/>
      <w:bookmarkStart w:id="319" w:name="_Toc512440279"/>
      <w:bookmarkStart w:id="320" w:name="_Toc511311159"/>
      <w:bookmarkStart w:id="321" w:name="_Toc6496"/>
      <w:r>
        <w:rPr>
          <w:rFonts w:hint="eastAsia"/>
          <w:sz w:val="30"/>
          <w:szCs w:val="30"/>
        </w:rPr>
        <w:t>（二十</w:t>
      </w:r>
      <w:r>
        <w:rPr>
          <w:rFonts w:hint="eastAsia"/>
          <w:sz w:val="30"/>
          <w:szCs w:val="30"/>
          <w:lang w:eastAsia="zh-CN"/>
        </w:rPr>
        <w:t>七</w:t>
      </w:r>
      <w:r>
        <w:rPr>
          <w:rFonts w:hint="eastAsia"/>
          <w:sz w:val="30"/>
          <w:szCs w:val="30"/>
        </w:rPr>
        <w:t>）环境监测外部质量监督与核查</w:t>
      </w:r>
      <w:bookmarkEnd w:id="318"/>
      <w:bookmarkEnd w:id="319"/>
      <w:bookmarkEnd w:id="320"/>
      <w:bookmarkEnd w:id="321"/>
    </w:p>
    <w:p>
      <w:pPr>
        <w:topLinePunct/>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落实两办《关于深化环境监测改革提高环境监测数据质量的意见》（厅字〔</w:t>
      </w:r>
      <w:r>
        <w:rPr>
          <w:rFonts w:ascii="仿宋_GB2312" w:hAnsi="仿宋_GB2312" w:eastAsia="仿宋_GB2312" w:cs="仿宋_GB2312"/>
          <w:sz w:val="28"/>
          <w:szCs w:val="28"/>
        </w:rPr>
        <w:t>2017</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35</w:t>
      </w:r>
      <w:r>
        <w:rPr>
          <w:rFonts w:hint="eastAsia" w:ascii="仿宋_GB2312" w:hAnsi="仿宋_GB2312" w:eastAsia="仿宋_GB2312" w:cs="仿宋_GB2312"/>
          <w:sz w:val="28"/>
          <w:szCs w:val="28"/>
        </w:rPr>
        <w:t>号）精神，认真贯彻执行《湖北省深化环境监测改革提高环境监测数据质量实施方案》（鄂办文〔</w:t>
      </w:r>
      <w:r>
        <w:rPr>
          <w:rFonts w:ascii="仿宋_GB2312" w:hAnsi="仿宋_GB2312" w:eastAsia="仿宋_GB2312" w:cs="仿宋_GB2312"/>
          <w:sz w:val="28"/>
          <w:szCs w:val="28"/>
        </w:rPr>
        <w:t>2018</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47</w:t>
      </w:r>
      <w:r>
        <w:rPr>
          <w:rFonts w:hint="eastAsia" w:ascii="仿宋_GB2312" w:hAnsi="仿宋_GB2312" w:eastAsia="仿宋_GB2312" w:cs="仿宋_GB2312"/>
          <w:sz w:val="28"/>
          <w:szCs w:val="28"/>
        </w:rPr>
        <w:t>号），加强生态环境监测质量管理和质量控制，提升环境监测工作的科学化、规范化水平，保障监测数据的准确性和权威性。</w:t>
      </w:r>
    </w:p>
    <w:p>
      <w:pPr>
        <w:topLinePunct/>
        <w:adjustRightInd w:val="0"/>
        <w:snapToGrid w:val="0"/>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为满足生态环境监测垂直管理等新形势下环境监测质量管理工作的需要，落实《检验检测机构资质认定生态环境监测机构评审补充要求》。市生态环境局会同市市场监督管理局组织开展生态环境监测机构“双随机、一公开”监督抽查工作，规范监测机构行为，不断提升监测技术人员能力水平。结合本市环境监测工作现状，进一步完善县级环境监测站运行和质量控制体系建设，努力实现辖区内县级站的基本监测能力。加强《环境质量自动监测运维机构质量管理体系建设通用要求（试行）》的学习，指导辖区内运维机构建立并有效运行质量管理体系，规范运维活动，确保自动监测数据真实、准确、可靠。</w:t>
      </w:r>
      <w:r>
        <w:rPr>
          <w:rFonts w:hint="eastAsia" w:ascii="仿宋_GB2312" w:hAnsi="仿宋_GB2312" w:eastAsia="仿宋_GB2312" w:cs="仿宋_GB2312"/>
          <w:sz w:val="28"/>
          <w:szCs w:val="28"/>
          <w:lang w:eastAsia="zh-CN"/>
        </w:rPr>
        <w:t>全年对全市生态环境监测系统承担的生态环境监测数据进行一到两次质量核查，切实提升生态环境监测数据质量。</w:t>
      </w:r>
    </w:p>
    <w:p>
      <w:pPr>
        <w:pStyle w:val="2"/>
        <w:ind w:firstLine="560"/>
        <w:rPr>
          <w:rFonts w:ascii="仿宋_GB2312" w:hAnsi="仿宋_GB2312" w:eastAsia="仿宋_GB2312" w:cs="仿宋_GB2312"/>
          <w:sz w:val="28"/>
          <w:szCs w:val="28"/>
        </w:rPr>
      </w:pPr>
    </w:p>
    <w:p>
      <w:pPr>
        <w:pStyle w:val="2"/>
        <w:ind w:firstLine="0" w:firstLineChars="0"/>
        <w:jc w:val="center"/>
        <w:outlineLvl w:val="0"/>
        <w:rPr>
          <w:rFonts w:hint="eastAsia" w:ascii="黑体" w:hAnsi="黑体" w:eastAsia="黑体" w:cs="黑体"/>
          <w:b/>
          <w:bCs/>
          <w:sz w:val="32"/>
          <w:szCs w:val="32"/>
          <w:lang w:val="en-US"/>
        </w:rPr>
      </w:pPr>
    </w:p>
    <w:p>
      <w:pPr>
        <w:pStyle w:val="2"/>
        <w:ind w:firstLine="0" w:firstLineChars="0"/>
        <w:jc w:val="center"/>
        <w:outlineLvl w:val="0"/>
        <w:rPr>
          <w:rFonts w:hint="eastAsia" w:ascii="黑体" w:hAnsi="黑体" w:eastAsia="黑体" w:cs="黑体"/>
          <w:b/>
          <w:bCs/>
          <w:sz w:val="32"/>
          <w:szCs w:val="32"/>
          <w:lang w:val="en-US"/>
        </w:rPr>
      </w:pPr>
    </w:p>
    <w:p>
      <w:pPr>
        <w:pStyle w:val="2"/>
        <w:ind w:firstLine="0" w:firstLineChars="0"/>
        <w:jc w:val="center"/>
        <w:outlineLvl w:val="0"/>
        <w:rPr>
          <w:rFonts w:hint="eastAsia" w:ascii="黑体" w:hAnsi="黑体" w:eastAsia="黑体" w:cs="黑体"/>
          <w:b/>
          <w:bCs/>
          <w:sz w:val="32"/>
          <w:szCs w:val="32"/>
          <w:lang w:val="en-US"/>
        </w:rPr>
      </w:pPr>
    </w:p>
    <w:p>
      <w:pPr>
        <w:pStyle w:val="2"/>
        <w:ind w:firstLine="0" w:firstLineChars="0"/>
        <w:jc w:val="center"/>
        <w:outlineLvl w:val="0"/>
        <w:rPr>
          <w:rFonts w:hint="eastAsia" w:ascii="黑体" w:hAnsi="黑体" w:eastAsia="黑体" w:cs="黑体"/>
          <w:b/>
          <w:bCs/>
          <w:sz w:val="32"/>
          <w:szCs w:val="32"/>
          <w:lang w:val="en-US"/>
        </w:rPr>
      </w:pPr>
    </w:p>
    <w:p>
      <w:pPr>
        <w:pStyle w:val="2"/>
        <w:ind w:firstLine="0" w:firstLineChars="0"/>
        <w:jc w:val="center"/>
        <w:outlineLvl w:val="0"/>
        <w:rPr>
          <w:rFonts w:ascii="仿宋_GB2312" w:hAnsi="仿宋_GB2312" w:eastAsia="仿宋_GB2312" w:cs="仿宋_GB2312"/>
          <w:sz w:val="32"/>
          <w:szCs w:val="32"/>
        </w:rPr>
      </w:pPr>
      <w:bookmarkStart w:id="322" w:name="_Toc1849"/>
      <w:r>
        <w:rPr>
          <w:rFonts w:hint="eastAsia" w:ascii="黑体" w:hAnsi="黑体" w:eastAsia="黑体" w:cs="黑体"/>
          <w:b/>
          <w:bCs/>
          <w:sz w:val="32"/>
          <w:szCs w:val="32"/>
          <w:lang w:val="en-US"/>
        </w:rPr>
        <w:t>七、生态环境质量报告报送</w:t>
      </w:r>
      <w:bookmarkEnd w:id="322"/>
    </w:p>
    <w:p>
      <w:pPr>
        <w:pStyle w:val="2"/>
        <w:ind w:firstLine="0" w:firstLineChars="0"/>
        <w:rPr>
          <w:rFonts w:ascii="仿宋_GB2312" w:hAnsi="仿宋_GB2312" w:eastAsia="仿宋_GB2312" w:cs="仿宋_GB2312"/>
          <w:sz w:val="28"/>
          <w:szCs w:val="28"/>
        </w:rPr>
      </w:pPr>
    </w:p>
    <w:p>
      <w:pPr>
        <w:pStyle w:val="4"/>
        <w:ind w:firstLine="600"/>
        <w:rPr>
          <w:sz w:val="30"/>
          <w:szCs w:val="30"/>
        </w:rPr>
      </w:pPr>
      <w:bookmarkStart w:id="323" w:name="_Toc17071"/>
      <w:r>
        <w:rPr>
          <w:rFonts w:hint="eastAsia"/>
          <w:sz w:val="30"/>
          <w:szCs w:val="30"/>
        </w:rPr>
        <w:t>（二十</w:t>
      </w:r>
      <w:r>
        <w:rPr>
          <w:rFonts w:hint="eastAsia"/>
          <w:sz w:val="30"/>
          <w:szCs w:val="30"/>
          <w:lang w:eastAsia="zh-CN"/>
        </w:rPr>
        <w:t>八</w:t>
      </w:r>
      <w:r>
        <w:rPr>
          <w:rFonts w:hint="eastAsia"/>
          <w:sz w:val="30"/>
          <w:szCs w:val="30"/>
        </w:rPr>
        <w:t>）</w:t>
      </w:r>
      <w:bookmarkStart w:id="324" w:name="_Toc30028"/>
      <w:bookmarkStart w:id="325" w:name="_Toc2094"/>
      <w:bookmarkStart w:id="326" w:name="_Toc6614"/>
      <w:bookmarkStart w:id="327" w:name="_Toc38546142"/>
      <w:bookmarkStart w:id="328" w:name="_Toc29096"/>
      <w:bookmarkStart w:id="329" w:name="_Toc32673"/>
      <w:bookmarkStart w:id="330" w:name="_Toc6494"/>
      <w:bookmarkStart w:id="331" w:name="_Toc4944"/>
      <w:bookmarkStart w:id="332" w:name="_Toc29651"/>
      <w:bookmarkStart w:id="333" w:name="_Toc15759"/>
      <w:bookmarkStart w:id="334" w:name="_Toc17107"/>
      <w:bookmarkStart w:id="335" w:name="_Toc31382"/>
      <w:bookmarkStart w:id="336" w:name="_Toc19254"/>
      <w:bookmarkStart w:id="337" w:name="_Toc12390"/>
      <w:bookmarkStart w:id="338" w:name="_Toc26988"/>
      <w:bookmarkStart w:id="339" w:name="_Toc25993"/>
      <w:bookmarkStart w:id="340" w:name="_Toc14439"/>
      <w:bookmarkStart w:id="341" w:name="_Toc16289"/>
      <w:bookmarkStart w:id="342" w:name="_Toc31458"/>
      <w:bookmarkStart w:id="343" w:name="_Toc1725"/>
      <w:r>
        <w:rPr>
          <w:rFonts w:hint="eastAsia"/>
          <w:sz w:val="30"/>
          <w:szCs w:val="30"/>
        </w:rPr>
        <w:t>202</w:t>
      </w:r>
      <w:r>
        <w:rPr>
          <w:rFonts w:hint="eastAsia"/>
          <w:sz w:val="30"/>
          <w:szCs w:val="30"/>
          <w:lang w:val="en-US" w:eastAsia="zh-CN"/>
        </w:rPr>
        <w:t>2</w:t>
      </w:r>
      <w:r>
        <w:rPr>
          <w:rFonts w:hint="eastAsia"/>
          <w:sz w:val="30"/>
          <w:szCs w:val="30"/>
        </w:rPr>
        <w:t>年生态环境质量报告书</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344" w:name="_Toc27516"/>
      <w:r>
        <w:rPr>
          <w:rFonts w:hint="eastAsia" w:ascii="仿宋_GB2312" w:hAnsi="仿宋_GB2312" w:eastAsia="仿宋_GB2312" w:cs="仿宋_GB2312"/>
          <w:b w:val="0"/>
          <w:bCs/>
          <w:sz w:val="28"/>
          <w:szCs w:val="28"/>
        </w:rPr>
        <w:t>1.报送范围</w:t>
      </w:r>
      <w:bookmarkEnd w:id="344"/>
    </w:p>
    <w:p>
      <w:pPr>
        <w:topLinePunct/>
        <w:adjustRightInd w:val="0"/>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咸宁市2022年生态环境质量报告书。</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345" w:name="_Toc21562"/>
      <w:r>
        <w:rPr>
          <w:rFonts w:hint="eastAsia" w:ascii="仿宋_GB2312" w:hAnsi="仿宋_GB2312" w:eastAsia="仿宋_GB2312" w:cs="仿宋_GB2312"/>
          <w:b w:val="0"/>
          <w:bCs/>
          <w:sz w:val="28"/>
          <w:szCs w:val="28"/>
        </w:rPr>
        <w:t>2.报送内容</w:t>
      </w:r>
      <w:bookmarkEnd w:id="345"/>
    </w:p>
    <w:p>
      <w:pPr>
        <w:topLinePunct/>
        <w:adjustRightInd w:val="0"/>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2022年生态环境质量报告书的word和PDF版本。</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346" w:name="_Toc25664"/>
      <w:r>
        <w:rPr>
          <w:rFonts w:hint="eastAsia" w:ascii="仿宋_GB2312" w:hAnsi="仿宋_GB2312" w:eastAsia="仿宋_GB2312" w:cs="仿宋_GB2312"/>
          <w:b w:val="0"/>
          <w:bCs/>
          <w:sz w:val="28"/>
          <w:szCs w:val="28"/>
        </w:rPr>
        <w:t>3.报送时间</w:t>
      </w:r>
      <w:bookmarkEnd w:id="346"/>
    </w:p>
    <w:p>
      <w:pPr>
        <w:topLinePunct/>
        <w:adjustRightInd w:val="0"/>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2023年5月24日之前。</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347" w:name="_Toc26584"/>
      <w:r>
        <w:rPr>
          <w:rFonts w:hint="eastAsia" w:ascii="仿宋_GB2312" w:hAnsi="仿宋_GB2312" w:eastAsia="仿宋_GB2312" w:cs="仿宋_GB2312"/>
          <w:b w:val="0"/>
          <w:bCs/>
          <w:sz w:val="28"/>
          <w:szCs w:val="28"/>
        </w:rPr>
        <w:t>4.报送方式</w:t>
      </w:r>
      <w:bookmarkEnd w:id="347"/>
    </w:p>
    <w:p>
      <w:pPr>
        <w:topLinePunct/>
        <w:adjustRightInd w:val="0"/>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市生态环境局生态科负责组织编制202</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年咸宁市生态环境质量报告书，驻地方监测中心提供技术支持，统一报送至省监测中心站综合业务室。</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348" w:name="_Toc19137"/>
      <w:r>
        <w:rPr>
          <w:rFonts w:hint="eastAsia" w:ascii="仿宋_GB2312" w:hAnsi="仿宋_GB2312" w:eastAsia="仿宋_GB2312" w:cs="仿宋_GB2312"/>
          <w:b w:val="0"/>
          <w:bCs/>
          <w:sz w:val="28"/>
          <w:szCs w:val="28"/>
        </w:rPr>
        <w:t>5.报告要求</w:t>
      </w:r>
      <w:bookmarkEnd w:id="348"/>
    </w:p>
    <w:p>
      <w:pPr>
        <w:topLinePunct/>
        <w:adjustRightInd w:val="0"/>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报告编写要求按照《环境质量报告书编写技术规范》（HJ 641—2012）编制2022年生态环境质量报告书，各要素评价方法和标准执行依据国家、生态环境部和总站相关标准、规范、技术规定和办法等执行。</w:t>
      </w:r>
    </w:p>
    <w:p>
      <w:pPr>
        <w:topLinePunct/>
        <w:adjustRightInd w:val="0"/>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报告书任何地方不允许标注秘密、涉密等字样。</w:t>
      </w:r>
    </w:p>
    <w:p>
      <w:pPr>
        <w:topLinePunct/>
        <w:adjustRightInd w:val="0"/>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报告书内的图表均要求可编辑模式。</w:t>
      </w:r>
    </w:p>
    <w:p>
      <w:pPr>
        <w:pStyle w:val="2"/>
        <w:ind w:firstLine="560"/>
        <w:rPr>
          <w:rFonts w:ascii="仿宋_GB2312" w:hAnsi="仿宋_GB2312" w:eastAsia="仿宋_GB2312" w:cs="仿宋_GB2312"/>
          <w:bCs/>
          <w:sz w:val="28"/>
          <w:szCs w:val="28"/>
        </w:rPr>
      </w:pPr>
    </w:p>
    <w:p>
      <w:pPr>
        <w:pStyle w:val="2"/>
        <w:ind w:firstLine="560"/>
        <w:rPr>
          <w:rFonts w:ascii="仿宋_GB2312" w:hAnsi="仿宋_GB2312" w:eastAsia="仿宋_GB2312" w:cs="仿宋_GB2312"/>
          <w:bCs/>
          <w:sz w:val="28"/>
          <w:szCs w:val="28"/>
        </w:rPr>
      </w:pPr>
    </w:p>
    <w:p>
      <w:pPr>
        <w:pStyle w:val="2"/>
        <w:ind w:firstLine="0" w:firstLineChars="0"/>
        <w:jc w:val="center"/>
        <w:outlineLvl w:val="0"/>
        <w:rPr>
          <w:rFonts w:hint="eastAsia" w:ascii="黑体" w:hAnsi="黑体" w:eastAsia="黑体" w:cs="黑体"/>
          <w:b/>
          <w:bCs/>
          <w:sz w:val="32"/>
          <w:szCs w:val="32"/>
          <w:lang w:val="en-US"/>
        </w:rPr>
      </w:pPr>
    </w:p>
    <w:p>
      <w:pPr>
        <w:pStyle w:val="2"/>
        <w:ind w:firstLine="0" w:firstLineChars="0"/>
        <w:jc w:val="center"/>
        <w:outlineLvl w:val="0"/>
        <w:rPr>
          <w:rFonts w:hint="eastAsia" w:ascii="黑体" w:hAnsi="黑体" w:eastAsia="黑体" w:cs="黑体"/>
          <w:b/>
          <w:bCs/>
          <w:sz w:val="32"/>
          <w:szCs w:val="32"/>
          <w:lang w:val="en-US"/>
        </w:rPr>
      </w:pPr>
    </w:p>
    <w:p>
      <w:pPr>
        <w:pStyle w:val="2"/>
        <w:ind w:firstLine="0" w:firstLineChars="0"/>
        <w:jc w:val="center"/>
        <w:outlineLvl w:val="0"/>
        <w:rPr>
          <w:rFonts w:hint="eastAsia" w:ascii="黑体" w:hAnsi="黑体" w:eastAsia="黑体" w:cs="黑体"/>
          <w:b/>
          <w:bCs/>
          <w:sz w:val="32"/>
          <w:szCs w:val="32"/>
          <w:lang w:val="en-US"/>
        </w:rPr>
      </w:pPr>
    </w:p>
    <w:p>
      <w:pPr>
        <w:pStyle w:val="2"/>
        <w:ind w:firstLine="0" w:firstLineChars="0"/>
        <w:jc w:val="center"/>
        <w:outlineLvl w:val="0"/>
        <w:rPr>
          <w:rFonts w:ascii="黑体" w:hAnsi="黑体" w:eastAsia="黑体" w:cs="黑体"/>
          <w:b/>
          <w:bCs/>
          <w:sz w:val="32"/>
          <w:szCs w:val="32"/>
        </w:rPr>
      </w:pPr>
      <w:bookmarkStart w:id="349" w:name="_Toc7679"/>
      <w:r>
        <w:rPr>
          <w:rFonts w:hint="eastAsia" w:ascii="黑体" w:hAnsi="黑体" w:eastAsia="黑体" w:cs="黑体"/>
          <w:b/>
          <w:bCs/>
          <w:sz w:val="32"/>
          <w:szCs w:val="32"/>
          <w:lang w:val="en-US"/>
        </w:rPr>
        <w:t>八、</w:t>
      </w:r>
      <w:r>
        <w:rPr>
          <w:rFonts w:hint="eastAsia" w:ascii="黑体" w:hAnsi="黑体" w:eastAsia="黑体" w:cs="黑体"/>
          <w:b/>
          <w:bCs/>
          <w:sz w:val="32"/>
          <w:szCs w:val="32"/>
        </w:rPr>
        <w:t>生态环境监测基础能力信息更新与填报</w:t>
      </w:r>
      <w:bookmarkEnd w:id="349"/>
    </w:p>
    <w:p>
      <w:pPr>
        <w:pStyle w:val="2"/>
        <w:ind w:firstLine="560"/>
        <w:rPr>
          <w:rFonts w:ascii="仿宋_GB2312" w:hAnsi="仿宋_GB2312" w:eastAsia="仿宋_GB2312" w:cs="仿宋_GB2312"/>
          <w:bCs/>
          <w:sz w:val="28"/>
          <w:szCs w:val="28"/>
        </w:rPr>
      </w:pPr>
    </w:p>
    <w:p>
      <w:pPr>
        <w:pStyle w:val="4"/>
        <w:ind w:firstLine="600"/>
      </w:pPr>
      <w:bookmarkStart w:id="350" w:name="_Toc19690"/>
      <w:r>
        <w:rPr>
          <w:rFonts w:hint="eastAsia"/>
          <w:sz w:val="30"/>
          <w:szCs w:val="30"/>
        </w:rPr>
        <w:t>（</w:t>
      </w:r>
      <w:r>
        <w:rPr>
          <w:rFonts w:hint="eastAsia"/>
          <w:sz w:val="30"/>
          <w:szCs w:val="30"/>
          <w:lang w:eastAsia="zh-CN"/>
        </w:rPr>
        <w:t>二</w:t>
      </w:r>
      <w:r>
        <w:rPr>
          <w:rFonts w:hint="eastAsia"/>
          <w:sz w:val="30"/>
          <w:szCs w:val="30"/>
        </w:rPr>
        <w:t>十</w:t>
      </w:r>
      <w:r>
        <w:rPr>
          <w:rFonts w:hint="eastAsia"/>
          <w:sz w:val="30"/>
          <w:szCs w:val="30"/>
          <w:lang w:eastAsia="zh-CN"/>
        </w:rPr>
        <w:t>九</w:t>
      </w:r>
      <w:r>
        <w:rPr>
          <w:rFonts w:hint="eastAsia"/>
          <w:sz w:val="30"/>
          <w:szCs w:val="30"/>
        </w:rPr>
        <w:t>）</w:t>
      </w:r>
      <w:bookmarkStart w:id="351" w:name="_Toc20999"/>
      <w:bookmarkStart w:id="352" w:name="_Toc5839"/>
      <w:bookmarkStart w:id="353" w:name="_Toc11617"/>
      <w:bookmarkStart w:id="354" w:name="_Toc19076"/>
      <w:bookmarkStart w:id="355" w:name="_Toc3197"/>
      <w:bookmarkStart w:id="356" w:name="_Toc22744"/>
      <w:bookmarkStart w:id="357" w:name="_Toc8803"/>
      <w:bookmarkStart w:id="358" w:name="_Toc14328"/>
      <w:bookmarkStart w:id="359" w:name="_Toc8337"/>
      <w:bookmarkStart w:id="360" w:name="_Toc15080"/>
      <w:bookmarkStart w:id="361" w:name="_Toc1621"/>
      <w:bookmarkStart w:id="362" w:name="_Toc11619"/>
      <w:bookmarkStart w:id="363" w:name="_Toc12482"/>
      <w:bookmarkStart w:id="364" w:name="_Toc3631"/>
      <w:bookmarkStart w:id="365" w:name="_Toc26617"/>
      <w:bookmarkStart w:id="366" w:name="_Toc7555"/>
      <w:bookmarkStart w:id="367" w:name="_Toc17152"/>
      <w:bookmarkStart w:id="368" w:name="_Toc30174"/>
      <w:bookmarkStart w:id="369" w:name="_Toc4996"/>
      <w:r>
        <w:rPr>
          <w:rFonts w:hint="eastAsia"/>
          <w:sz w:val="30"/>
          <w:szCs w:val="30"/>
        </w:rPr>
        <w:t>生态环境监测基础能力信息更新与填报</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370" w:name="_Toc32000"/>
      <w:r>
        <w:rPr>
          <w:rFonts w:hint="eastAsia" w:ascii="仿宋_GB2312" w:hAnsi="仿宋_GB2312" w:eastAsia="仿宋_GB2312" w:cs="仿宋_GB2312"/>
          <w:b w:val="0"/>
          <w:bCs/>
          <w:sz w:val="28"/>
          <w:szCs w:val="28"/>
        </w:rPr>
        <w:t>1.报送范围</w:t>
      </w:r>
      <w:bookmarkEnd w:id="370"/>
    </w:p>
    <w:p>
      <w:pPr>
        <w:numPr>
          <w:ilvl w:val="255"/>
          <w:numId w:val="0"/>
        </w:numPr>
        <w:topLinePunct/>
        <w:adjustRightInd w:val="0"/>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辖区内六个县市区生态环境监测站。</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371" w:name="_Toc22950"/>
      <w:r>
        <w:rPr>
          <w:rFonts w:hint="eastAsia" w:ascii="仿宋_GB2312" w:hAnsi="仿宋_GB2312" w:eastAsia="仿宋_GB2312" w:cs="仿宋_GB2312"/>
          <w:b w:val="0"/>
          <w:bCs/>
          <w:sz w:val="28"/>
          <w:szCs w:val="28"/>
        </w:rPr>
        <w:t>2.报送方式</w:t>
      </w:r>
      <w:bookmarkEnd w:id="371"/>
    </w:p>
    <w:p>
      <w:pPr>
        <w:topLinePunct/>
        <w:adjustRightInd w:val="0"/>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市生态环境局生态科负责组织辖区内各级监测站开展信息填报。通过“全国生态环境监测基础能力登记系统”按照2022年填报要求进行填报，登记系统网址：https://public.cnemc.cn:8888/。</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372" w:name="_Toc14261"/>
      <w:r>
        <w:rPr>
          <w:rFonts w:hint="eastAsia" w:ascii="仿宋_GB2312" w:hAnsi="仿宋_GB2312" w:eastAsia="仿宋_GB2312" w:cs="仿宋_GB2312"/>
          <w:b w:val="0"/>
          <w:bCs/>
          <w:sz w:val="28"/>
          <w:szCs w:val="28"/>
        </w:rPr>
        <w:t>3.填报时间</w:t>
      </w:r>
      <w:bookmarkEnd w:id="372"/>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2023年5月10日之前完成。</w:t>
      </w:r>
    </w:p>
    <w:p>
      <w:pPr>
        <w:pStyle w:val="6"/>
        <w:numPr>
          <w:ilvl w:val="2"/>
          <w:numId w:val="0"/>
        </w:numPr>
        <w:spacing w:line="560" w:lineRule="exact"/>
        <w:ind w:firstLine="560" w:firstLineChars="200"/>
        <w:rPr>
          <w:rFonts w:ascii="仿宋_GB2312" w:hAnsi="仿宋_GB2312" w:eastAsia="仿宋_GB2312" w:cs="仿宋_GB2312"/>
          <w:b w:val="0"/>
          <w:bCs/>
          <w:sz w:val="28"/>
          <w:szCs w:val="28"/>
        </w:rPr>
      </w:pPr>
      <w:bookmarkStart w:id="373" w:name="_Toc3440"/>
      <w:r>
        <w:rPr>
          <w:rFonts w:hint="eastAsia" w:ascii="仿宋_GB2312" w:hAnsi="仿宋_GB2312" w:eastAsia="仿宋_GB2312" w:cs="仿宋_GB2312"/>
          <w:b w:val="0"/>
          <w:bCs/>
          <w:sz w:val="28"/>
          <w:szCs w:val="28"/>
        </w:rPr>
        <w:t>4.质量检查</w:t>
      </w:r>
      <w:bookmarkEnd w:id="373"/>
    </w:p>
    <w:p>
      <w:pPr>
        <w:topLinePunct/>
        <w:adjustRightInd w:val="0"/>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市生态环境局生态科组织开展各县市区生态环境监测基础能力登记系统更新和填报信息质量检查工作。</w:t>
      </w:r>
    </w:p>
    <w:p>
      <w:pPr>
        <w:pStyle w:val="2"/>
        <w:ind w:firstLine="560"/>
        <w:rPr>
          <w:rFonts w:ascii="仿宋_GB2312" w:hAnsi="仿宋_GB2312" w:eastAsia="仿宋_GB2312" w:cs="仿宋_GB2312"/>
          <w:bCs/>
          <w:sz w:val="28"/>
          <w:szCs w:val="28"/>
        </w:rPr>
      </w:pPr>
    </w:p>
    <w:p>
      <w:pPr>
        <w:pStyle w:val="2"/>
        <w:ind w:firstLine="0" w:firstLineChars="0"/>
        <w:jc w:val="center"/>
        <w:outlineLvl w:val="0"/>
        <w:rPr>
          <w:rFonts w:hint="eastAsia" w:ascii="黑体" w:hAnsi="黑体" w:eastAsia="黑体" w:cs="黑体"/>
          <w:b/>
          <w:bCs/>
          <w:sz w:val="32"/>
          <w:szCs w:val="32"/>
        </w:rPr>
      </w:pPr>
      <w:bookmarkStart w:id="374" w:name="_Toc32713"/>
      <w:bookmarkStart w:id="375" w:name="_Hlk129848552"/>
      <w:r>
        <w:rPr>
          <w:rFonts w:hint="eastAsia" w:ascii="黑体" w:hAnsi="黑体" w:eastAsia="黑体" w:cs="黑体"/>
          <w:b/>
          <w:bCs/>
          <w:sz w:val="32"/>
          <w:szCs w:val="32"/>
          <w:lang w:eastAsia="zh-CN"/>
        </w:rPr>
        <w:t>九．</w:t>
      </w:r>
      <w:r>
        <w:rPr>
          <w:rFonts w:hint="eastAsia" w:ascii="黑体" w:hAnsi="黑体" w:eastAsia="黑体" w:cs="黑体"/>
          <w:b/>
          <w:bCs/>
          <w:sz w:val="32"/>
          <w:szCs w:val="32"/>
        </w:rPr>
        <w:t>生态环境监测点位风险隐患排查</w:t>
      </w:r>
      <w:bookmarkEnd w:id="374"/>
    </w:p>
    <w:bookmarkEnd w:id="375"/>
    <w:p>
      <w:pPr>
        <w:pStyle w:val="4"/>
        <w:ind w:firstLine="600"/>
        <w:rPr>
          <w:sz w:val="30"/>
          <w:szCs w:val="30"/>
        </w:rPr>
      </w:pPr>
    </w:p>
    <w:p>
      <w:pPr>
        <w:pStyle w:val="4"/>
        <w:ind w:firstLine="600"/>
      </w:pPr>
      <w:bookmarkStart w:id="376" w:name="_Toc25020"/>
      <w:r>
        <w:rPr>
          <w:rFonts w:hint="eastAsia"/>
          <w:sz w:val="30"/>
          <w:szCs w:val="30"/>
        </w:rPr>
        <w:t>（三十）生态环境监测点位风险隐患排查</w:t>
      </w:r>
      <w:bookmarkEnd w:id="376"/>
    </w:p>
    <w:p>
      <w:pPr>
        <w:pStyle w:val="3"/>
        <w:ind w:firstLine="560" w:firstLineChars="200"/>
        <w:rPr>
          <w:sz w:val="28"/>
          <w:szCs w:val="28"/>
        </w:rPr>
      </w:pPr>
      <w:r>
        <w:rPr>
          <w:rFonts w:hint="eastAsia"/>
          <w:sz w:val="28"/>
          <w:szCs w:val="28"/>
        </w:rPr>
        <w:t>针对我市城区区域噪声和道路交通噪声点位设置年限较长的情况，为相关点位调整提前做好点位论证，对城区112个区域噪声监测点和29个道路交通噪声监测点进行点位核查，查找点位存在的问题并对有问题点位进行点位调整论证，形成咸宁市城区区域噪声和道路交通噪声点位核查及调整报告，为相关点位调整提前做好准备。</w:t>
      </w:r>
    </w:p>
    <w:p>
      <w:pPr>
        <w:pStyle w:val="3"/>
        <w:ind w:firstLine="560" w:firstLineChars="200"/>
        <w:rPr>
          <w:sz w:val="28"/>
          <w:szCs w:val="28"/>
        </w:rPr>
      </w:pPr>
      <w:r>
        <w:rPr>
          <w:rFonts w:hint="eastAsia"/>
          <w:sz w:val="28"/>
          <w:szCs w:val="28"/>
        </w:rPr>
        <w:t>目前生态环境状况指数（EI）由生态质量指数（EQI）替代，生态质量指数主要由生态质量监测样地监测数据进行综合评价，咸宁市共设置了53个国控生态质量监测样地和37个省控生态质量监测样地，为了全面了解咸宁市生态质量监测样地的情况和存在风险，形成咸宁市生态质量监测样地核查和风险报告。</w:t>
      </w:r>
    </w:p>
    <w:p>
      <w:pPr>
        <w:pStyle w:val="3"/>
        <w:ind w:firstLine="560" w:firstLineChars="200"/>
        <w:rPr>
          <w:sz w:val="32"/>
          <w:szCs w:val="32"/>
        </w:rPr>
      </w:pPr>
      <w:r>
        <w:rPr>
          <w:rFonts w:hint="eastAsia"/>
          <w:sz w:val="28"/>
          <w:szCs w:val="28"/>
        </w:rPr>
        <w:t>以上两项工作由市局自然生态科负责组织实施，相关县（市、区）做好配合工作。</w:t>
      </w:r>
    </w:p>
    <w:sectPr>
      <w:pgSz w:w="11906" w:h="16838"/>
      <w:pgMar w:top="1418" w:right="1588" w:bottom="1418" w:left="1701"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sz w:val="24"/>
        <w:szCs w:val="24"/>
      </w:rP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sz w:val="24"/>
        <w:szCs w:val="24"/>
      </w:rPr>
    </w:pPr>
    <w:r>
      <w:t xml:space="preserve">     </w: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DE910"/>
    <w:multiLevelType w:val="singleLevel"/>
    <w:tmpl w:val="AC4DE910"/>
    <w:lvl w:ilvl="0" w:tentative="0">
      <w:start w:val="4"/>
      <w:numFmt w:val="decimal"/>
      <w:suff w:val="nothing"/>
      <w:lvlText w:val="（%1）"/>
      <w:lvlJc w:val="left"/>
    </w:lvl>
  </w:abstractNum>
  <w:abstractNum w:abstractNumId="1">
    <w:nsid w:val="02B1B39F"/>
    <w:multiLevelType w:val="singleLevel"/>
    <w:tmpl w:val="02B1B39F"/>
    <w:lvl w:ilvl="0" w:tentative="0">
      <w:start w:val="1"/>
      <w:numFmt w:val="chineseCounting"/>
      <w:suff w:val="nothing"/>
      <w:lvlText w:val="%1、"/>
      <w:lvlJc w:val="left"/>
      <w:rPr>
        <w:rFonts w:hint="eastAsia"/>
      </w:rPr>
    </w:lvl>
  </w:abstractNum>
  <w:abstractNum w:abstractNumId="2">
    <w:nsid w:val="5E374100"/>
    <w:multiLevelType w:val="multilevel"/>
    <w:tmpl w:val="5E374100"/>
    <w:lvl w:ilvl="0" w:tentative="0">
      <w:start w:val="1"/>
      <w:numFmt w:val="chineseCounting"/>
      <w:suff w:val="nothing"/>
      <w:lvlText w:val="%1、"/>
      <w:lvlJc w:val="left"/>
      <w:pPr>
        <w:ind w:left="0" w:firstLine="0"/>
      </w:pPr>
      <w:rPr>
        <w:rFonts w:hint="eastAsia"/>
      </w:rPr>
    </w:lvl>
    <w:lvl w:ilvl="1" w:tentative="0">
      <w:start w:val="1"/>
      <w:numFmt w:val="chineseCounting"/>
      <w:lvlRestart w:val="0"/>
      <w:pStyle w:val="5"/>
      <w:suff w:val="nothing"/>
      <w:lvlText w:val="（%2）"/>
      <w:lvlJc w:val="left"/>
      <w:pPr>
        <w:tabs>
          <w:tab w:val="left" w:pos="0"/>
        </w:tabs>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C4C"/>
    <w:rsid w:val="000135AF"/>
    <w:rsid w:val="00031C4C"/>
    <w:rsid w:val="00061536"/>
    <w:rsid w:val="000636B0"/>
    <w:rsid w:val="000A1E89"/>
    <w:rsid w:val="000C1361"/>
    <w:rsid w:val="000C5AF9"/>
    <w:rsid w:val="000C7545"/>
    <w:rsid w:val="000E429C"/>
    <w:rsid w:val="000E6BC9"/>
    <w:rsid w:val="0011257E"/>
    <w:rsid w:val="00132A74"/>
    <w:rsid w:val="00133195"/>
    <w:rsid w:val="001419B6"/>
    <w:rsid w:val="00141E39"/>
    <w:rsid w:val="00146796"/>
    <w:rsid w:val="00185BC1"/>
    <w:rsid w:val="00196E64"/>
    <w:rsid w:val="001A7E68"/>
    <w:rsid w:val="001C65AA"/>
    <w:rsid w:val="001E0378"/>
    <w:rsid w:val="001E2A50"/>
    <w:rsid w:val="001E478B"/>
    <w:rsid w:val="001F0DAB"/>
    <w:rsid w:val="00200A5D"/>
    <w:rsid w:val="00222C06"/>
    <w:rsid w:val="00235C5E"/>
    <w:rsid w:val="00237E4A"/>
    <w:rsid w:val="00290741"/>
    <w:rsid w:val="002C0F16"/>
    <w:rsid w:val="002D6131"/>
    <w:rsid w:val="002F43F5"/>
    <w:rsid w:val="00300556"/>
    <w:rsid w:val="00316D76"/>
    <w:rsid w:val="003206DA"/>
    <w:rsid w:val="003239FC"/>
    <w:rsid w:val="00351FE1"/>
    <w:rsid w:val="00390136"/>
    <w:rsid w:val="00392D4A"/>
    <w:rsid w:val="003A6E3C"/>
    <w:rsid w:val="003C59C8"/>
    <w:rsid w:val="003D59D4"/>
    <w:rsid w:val="003E0F37"/>
    <w:rsid w:val="00402040"/>
    <w:rsid w:val="00402D76"/>
    <w:rsid w:val="00415F0E"/>
    <w:rsid w:val="00420BAA"/>
    <w:rsid w:val="00427EC7"/>
    <w:rsid w:val="00433FAD"/>
    <w:rsid w:val="004432C9"/>
    <w:rsid w:val="0044447B"/>
    <w:rsid w:val="004805F4"/>
    <w:rsid w:val="004E1183"/>
    <w:rsid w:val="004E1E25"/>
    <w:rsid w:val="004F502A"/>
    <w:rsid w:val="00513209"/>
    <w:rsid w:val="00513B80"/>
    <w:rsid w:val="005141E9"/>
    <w:rsid w:val="005211D9"/>
    <w:rsid w:val="00521C28"/>
    <w:rsid w:val="00555647"/>
    <w:rsid w:val="00557249"/>
    <w:rsid w:val="00585D76"/>
    <w:rsid w:val="00594D4F"/>
    <w:rsid w:val="005A5E43"/>
    <w:rsid w:val="005B0BF5"/>
    <w:rsid w:val="005F1308"/>
    <w:rsid w:val="00613530"/>
    <w:rsid w:val="006731D0"/>
    <w:rsid w:val="00675D5F"/>
    <w:rsid w:val="0069406B"/>
    <w:rsid w:val="006B1C48"/>
    <w:rsid w:val="006E19B5"/>
    <w:rsid w:val="006E3C02"/>
    <w:rsid w:val="006F4273"/>
    <w:rsid w:val="0070436A"/>
    <w:rsid w:val="0072091A"/>
    <w:rsid w:val="00722252"/>
    <w:rsid w:val="00723734"/>
    <w:rsid w:val="00734EE8"/>
    <w:rsid w:val="0074031D"/>
    <w:rsid w:val="00750828"/>
    <w:rsid w:val="00784273"/>
    <w:rsid w:val="00791A70"/>
    <w:rsid w:val="00793FD1"/>
    <w:rsid w:val="007A5EC3"/>
    <w:rsid w:val="007B0EE9"/>
    <w:rsid w:val="007C148E"/>
    <w:rsid w:val="007C4F10"/>
    <w:rsid w:val="007C5765"/>
    <w:rsid w:val="007E57DE"/>
    <w:rsid w:val="007F4DB6"/>
    <w:rsid w:val="0083137B"/>
    <w:rsid w:val="00881452"/>
    <w:rsid w:val="008B0492"/>
    <w:rsid w:val="008B5B4F"/>
    <w:rsid w:val="008E58D6"/>
    <w:rsid w:val="008F74F3"/>
    <w:rsid w:val="00933EF8"/>
    <w:rsid w:val="009423C7"/>
    <w:rsid w:val="00952618"/>
    <w:rsid w:val="009712EF"/>
    <w:rsid w:val="00997BAA"/>
    <w:rsid w:val="009B1A87"/>
    <w:rsid w:val="009E0039"/>
    <w:rsid w:val="009F04B0"/>
    <w:rsid w:val="009F0895"/>
    <w:rsid w:val="00A40B7D"/>
    <w:rsid w:val="00A40DA8"/>
    <w:rsid w:val="00A507E8"/>
    <w:rsid w:val="00A9068F"/>
    <w:rsid w:val="00A95D8C"/>
    <w:rsid w:val="00AA00BC"/>
    <w:rsid w:val="00AC0EDD"/>
    <w:rsid w:val="00AC1A20"/>
    <w:rsid w:val="00AC4ECB"/>
    <w:rsid w:val="00AF0340"/>
    <w:rsid w:val="00AF78A8"/>
    <w:rsid w:val="00B179AE"/>
    <w:rsid w:val="00B2163F"/>
    <w:rsid w:val="00B31283"/>
    <w:rsid w:val="00B53FA9"/>
    <w:rsid w:val="00B73240"/>
    <w:rsid w:val="00BA2092"/>
    <w:rsid w:val="00BA68B0"/>
    <w:rsid w:val="00BB3D4B"/>
    <w:rsid w:val="00BC2A08"/>
    <w:rsid w:val="00BD5140"/>
    <w:rsid w:val="00BE53E7"/>
    <w:rsid w:val="00BF6CB7"/>
    <w:rsid w:val="00C0228F"/>
    <w:rsid w:val="00C131E1"/>
    <w:rsid w:val="00C21A66"/>
    <w:rsid w:val="00C23DF0"/>
    <w:rsid w:val="00C364E9"/>
    <w:rsid w:val="00CA00B8"/>
    <w:rsid w:val="00CA2223"/>
    <w:rsid w:val="00CB61D3"/>
    <w:rsid w:val="00CC1B9C"/>
    <w:rsid w:val="00CE5060"/>
    <w:rsid w:val="00CE61F5"/>
    <w:rsid w:val="00D10F0C"/>
    <w:rsid w:val="00D35875"/>
    <w:rsid w:val="00D46282"/>
    <w:rsid w:val="00D54DC1"/>
    <w:rsid w:val="00D55EB6"/>
    <w:rsid w:val="00D569DC"/>
    <w:rsid w:val="00D6718E"/>
    <w:rsid w:val="00D67CD4"/>
    <w:rsid w:val="00D75EFD"/>
    <w:rsid w:val="00D965CF"/>
    <w:rsid w:val="00DA3F26"/>
    <w:rsid w:val="00DC5233"/>
    <w:rsid w:val="00DD4B62"/>
    <w:rsid w:val="00E205C8"/>
    <w:rsid w:val="00E32C3F"/>
    <w:rsid w:val="00E43B87"/>
    <w:rsid w:val="00E45DFD"/>
    <w:rsid w:val="00E561D9"/>
    <w:rsid w:val="00E675D2"/>
    <w:rsid w:val="00E708AC"/>
    <w:rsid w:val="00E734A9"/>
    <w:rsid w:val="00E82479"/>
    <w:rsid w:val="00E84515"/>
    <w:rsid w:val="00E94C3E"/>
    <w:rsid w:val="00EA511D"/>
    <w:rsid w:val="00EB792E"/>
    <w:rsid w:val="00F36626"/>
    <w:rsid w:val="00F51D67"/>
    <w:rsid w:val="00F57948"/>
    <w:rsid w:val="00F802BE"/>
    <w:rsid w:val="00F8697C"/>
    <w:rsid w:val="00F9108E"/>
    <w:rsid w:val="00FC1B79"/>
    <w:rsid w:val="00FC4300"/>
    <w:rsid w:val="00FF3A55"/>
    <w:rsid w:val="00FF7185"/>
    <w:rsid w:val="018813FF"/>
    <w:rsid w:val="022E1AE6"/>
    <w:rsid w:val="076E634F"/>
    <w:rsid w:val="0B45653B"/>
    <w:rsid w:val="0B922252"/>
    <w:rsid w:val="0C3E583E"/>
    <w:rsid w:val="15145780"/>
    <w:rsid w:val="18076DDE"/>
    <w:rsid w:val="197F41EE"/>
    <w:rsid w:val="1A4378C1"/>
    <w:rsid w:val="1AE47AFF"/>
    <w:rsid w:val="1E612537"/>
    <w:rsid w:val="22133EEE"/>
    <w:rsid w:val="2A426812"/>
    <w:rsid w:val="2B7E62F6"/>
    <w:rsid w:val="2CFD490F"/>
    <w:rsid w:val="39D84EC6"/>
    <w:rsid w:val="3BBA2A8E"/>
    <w:rsid w:val="3C0361AE"/>
    <w:rsid w:val="5085014F"/>
    <w:rsid w:val="51412295"/>
    <w:rsid w:val="52995C40"/>
    <w:rsid w:val="56EC6F53"/>
    <w:rsid w:val="59FB58D7"/>
    <w:rsid w:val="5A116D6A"/>
    <w:rsid w:val="5D9C6DB3"/>
    <w:rsid w:val="64CB308D"/>
    <w:rsid w:val="6F411703"/>
    <w:rsid w:val="6F746AB6"/>
    <w:rsid w:val="720A1F0D"/>
    <w:rsid w:val="72586EE0"/>
    <w:rsid w:val="75184AE4"/>
    <w:rsid w:val="75A37AA7"/>
    <w:rsid w:val="78FE4D48"/>
    <w:rsid w:val="7B915B1D"/>
    <w:rsid w:val="7C2A060F"/>
    <w:rsid w:val="7C3D77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qFormat/>
    <w:uiPriority w:val="0"/>
    <w:pPr>
      <w:keepNext/>
      <w:keepLines/>
      <w:spacing w:line="560" w:lineRule="exact"/>
      <w:ind w:firstLine="883" w:firstLineChars="200"/>
      <w:outlineLvl w:val="0"/>
    </w:pPr>
    <w:rPr>
      <w:rFonts w:eastAsia="黑体"/>
      <w:kern w:val="44"/>
      <w:sz w:val="32"/>
    </w:rPr>
  </w:style>
  <w:style w:type="paragraph" w:styleId="5">
    <w:name w:val="heading 2"/>
    <w:basedOn w:val="1"/>
    <w:next w:val="1"/>
    <w:unhideWhenUsed/>
    <w:qFormat/>
    <w:uiPriority w:val="0"/>
    <w:pPr>
      <w:keepNext/>
      <w:keepLines/>
      <w:numPr>
        <w:ilvl w:val="1"/>
        <w:numId w:val="1"/>
      </w:numPr>
      <w:spacing w:before="120" w:after="120" w:line="360" w:lineRule="auto"/>
      <w:outlineLvl w:val="1"/>
    </w:pPr>
    <w:rPr>
      <w:rFonts w:eastAsia="楷体" w:cs="Times New Roman"/>
      <w:b/>
      <w:bCs/>
      <w:szCs w:val="32"/>
    </w:rPr>
  </w:style>
  <w:style w:type="paragraph" w:styleId="6">
    <w:name w:val="heading 3"/>
    <w:basedOn w:val="1"/>
    <w:next w:val="1"/>
    <w:qFormat/>
    <w:uiPriority w:val="0"/>
    <w:pPr>
      <w:keepNext/>
      <w:keepLines/>
      <w:numPr>
        <w:ilvl w:val="2"/>
        <w:numId w:val="1"/>
      </w:numPr>
      <w:ind w:firstLine="0"/>
      <w:outlineLvl w:val="2"/>
    </w:pPr>
    <w:rPr>
      <w:rFonts w:eastAsia="楷体_GB2312" w:cs="Times New Roman"/>
      <w:b/>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0"/>
    <w:pPr>
      <w:spacing w:line="360" w:lineRule="auto"/>
      <w:ind w:firstLine="200" w:firstLineChars="200"/>
    </w:pPr>
    <w:rPr>
      <w:rFonts w:ascii="宋体" w:hAnsi="Times New Roman" w:cs="宋体"/>
      <w:sz w:val="24"/>
      <w:szCs w:val="21"/>
      <w:lang w:val="zh-CN" w:bidi="zh-CN"/>
    </w:rPr>
  </w:style>
  <w:style w:type="paragraph" w:customStyle="1" w:styleId="3">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toc 7"/>
    <w:basedOn w:val="1"/>
    <w:next w:val="1"/>
    <w:semiHidden/>
    <w:qFormat/>
    <w:uiPriority w:val="99"/>
    <w:pPr>
      <w:ind w:left="2520" w:leftChars="1200"/>
    </w:pPr>
    <w:rPr>
      <w:rFonts w:ascii="Times New Roman" w:hAnsi="Times New Roman" w:cs="Times New Roman"/>
      <w:szCs w:val="24"/>
    </w:rPr>
  </w:style>
  <w:style w:type="paragraph" w:styleId="8">
    <w:name w:val="annotation text"/>
    <w:basedOn w:val="1"/>
    <w:link w:val="27"/>
    <w:qFormat/>
    <w:uiPriority w:val="99"/>
    <w:pPr>
      <w:jc w:val="left"/>
    </w:pPr>
  </w:style>
  <w:style w:type="paragraph" w:styleId="9">
    <w:name w:val="toc 5"/>
    <w:basedOn w:val="1"/>
    <w:next w:val="1"/>
    <w:semiHidden/>
    <w:qFormat/>
    <w:uiPriority w:val="99"/>
    <w:pPr>
      <w:ind w:left="1680" w:leftChars="800"/>
    </w:pPr>
    <w:rPr>
      <w:rFonts w:ascii="Times New Roman" w:hAnsi="Times New Roman" w:cs="Times New Roman"/>
      <w:szCs w:val="24"/>
    </w:rPr>
  </w:style>
  <w:style w:type="paragraph" w:styleId="10">
    <w:name w:val="toc 3"/>
    <w:basedOn w:val="1"/>
    <w:next w:val="1"/>
    <w:semiHidden/>
    <w:qFormat/>
    <w:uiPriority w:val="99"/>
    <w:pPr>
      <w:ind w:left="840" w:leftChars="400"/>
    </w:pPr>
    <w:rPr>
      <w:rFonts w:ascii="Times New Roman" w:hAnsi="Times New Roman" w:cs="Times New Roman"/>
      <w:szCs w:val="24"/>
    </w:rPr>
  </w:style>
  <w:style w:type="paragraph" w:styleId="11">
    <w:name w:val="Plain Text"/>
    <w:basedOn w:val="1"/>
    <w:next w:val="1"/>
    <w:link w:val="28"/>
    <w:qFormat/>
    <w:uiPriority w:val="99"/>
    <w:pPr>
      <w:autoSpaceDE w:val="0"/>
      <w:autoSpaceDN w:val="0"/>
      <w:adjustRightInd w:val="0"/>
      <w:jc w:val="left"/>
    </w:pPr>
    <w:rPr>
      <w:rFonts w:ascii="宋体"/>
      <w:szCs w:val="20"/>
    </w:rPr>
  </w:style>
  <w:style w:type="paragraph" w:styleId="12">
    <w:name w:val="toc 8"/>
    <w:basedOn w:val="1"/>
    <w:next w:val="1"/>
    <w:semiHidden/>
    <w:qFormat/>
    <w:uiPriority w:val="99"/>
    <w:pPr>
      <w:ind w:left="2940" w:leftChars="1400"/>
    </w:pPr>
    <w:rPr>
      <w:rFonts w:ascii="Times New Roman" w:hAnsi="Times New Roman" w:cs="Times New Roman"/>
      <w:szCs w:val="24"/>
    </w:rPr>
  </w:style>
  <w:style w:type="paragraph" w:styleId="13">
    <w:name w:val="Balloon Text"/>
    <w:basedOn w:val="1"/>
    <w:link w:val="29"/>
    <w:qFormat/>
    <w:uiPriority w:val="99"/>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tabs>
        <w:tab w:val="right" w:leader="dot" w:pos="8296"/>
      </w:tabs>
      <w:spacing w:line="400" w:lineRule="exact"/>
    </w:pPr>
    <w:rPr>
      <w:rFonts w:ascii="仿宋_GB2312" w:eastAsia="仿宋_GB2312" w:cs="Times New Roman"/>
      <w:sz w:val="24"/>
      <w:szCs w:val="24"/>
    </w:rPr>
  </w:style>
  <w:style w:type="paragraph" w:styleId="17">
    <w:name w:val="toc 4"/>
    <w:basedOn w:val="1"/>
    <w:next w:val="1"/>
    <w:semiHidden/>
    <w:qFormat/>
    <w:uiPriority w:val="99"/>
    <w:pPr>
      <w:ind w:left="1260" w:leftChars="600"/>
    </w:pPr>
    <w:rPr>
      <w:rFonts w:ascii="Times New Roman" w:hAnsi="Times New Roman" w:cs="Times New Roman"/>
      <w:szCs w:val="24"/>
    </w:rPr>
  </w:style>
  <w:style w:type="paragraph" w:styleId="18">
    <w:name w:val="toc 6"/>
    <w:basedOn w:val="1"/>
    <w:next w:val="1"/>
    <w:semiHidden/>
    <w:qFormat/>
    <w:uiPriority w:val="99"/>
    <w:pPr>
      <w:ind w:left="2100" w:leftChars="1000"/>
    </w:pPr>
    <w:rPr>
      <w:rFonts w:ascii="Times New Roman" w:hAnsi="Times New Roman" w:cs="Times New Roman"/>
      <w:szCs w:val="24"/>
    </w:rPr>
  </w:style>
  <w:style w:type="paragraph" w:styleId="19">
    <w:name w:val="toc 2"/>
    <w:basedOn w:val="1"/>
    <w:next w:val="1"/>
    <w:qFormat/>
    <w:uiPriority w:val="99"/>
    <w:pPr>
      <w:ind w:left="200" w:leftChars="200"/>
    </w:pPr>
  </w:style>
  <w:style w:type="paragraph" w:styleId="20">
    <w:name w:val="toc 9"/>
    <w:basedOn w:val="1"/>
    <w:next w:val="1"/>
    <w:semiHidden/>
    <w:qFormat/>
    <w:uiPriority w:val="99"/>
    <w:pPr>
      <w:ind w:left="3360" w:leftChars="1600"/>
    </w:pPr>
    <w:rPr>
      <w:rFonts w:ascii="Times New Roman" w:hAnsi="Times New Roman" w:cs="Times New Roman"/>
      <w:szCs w:val="24"/>
    </w:rPr>
  </w:style>
  <w:style w:type="paragraph" w:styleId="21">
    <w:name w:val="annotation subject"/>
    <w:basedOn w:val="8"/>
    <w:next w:val="8"/>
    <w:link w:val="32"/>
    <w:semiHidden/>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iPriority w:val="99"/>
    <w:rPr>
      <w:rFonts w:cs="Times New Roman"/>
      <w:color w:val="0563C1"/>
      <w:u w:val="single"/>
    </w:rPr>
  </w:style>
  <w:style w:type="character" w:styleId="26">
    <w:name w:val="annotation reference"/>
    <w:semiHidden/>
    <w:uiPriority w:val="99"/>
    <w:rPr>
      <w:rFonts w:cs="Times New Roman"/>
      <w:sz w:val="21"/>
      <w:szCs w:val="21"/>
    </w:rPr>
  </w:style>
  <w:style w:type="character" w:customStyle="1" w:styleId="27">
    <w:name w:val="批注文字 字符"/>
    <w:link w:val="8"/>
    <w:locked/>
    <w:uiPriority w:val="99"/>
    <w:rPr>
      <w:rFonts w:ascii="Calibri" w:hAnsi="Calibri" w:cs="Arial"/>
      <w:kern w:val="2"/>
      <w:sz w:val="22"/>
      <w:szCs w:val="22"/>
    </w:rPr>
  </w:style>
  <w:style w:type="character" w:customStyle="1" w:styleId="28">
    <w:name w:val="纯文本 字符"/>
    <w:link w:val="11"/>
    <w:semiHidden/>
    <w:qFormat/>
    <w:locked/>
    <w:uiPriority w:val="99"/>
    <w:rPr>
      <w:rFonts w:ascii="宋体" w:hAnsi="Courier New" w:cs="Courier New"/>
      <w:sz w:val="21"/>
      <w:szCs w:val="21"/>
    </w:rPr>
  </w:style>
  <w:style w:type="character" w:customStyle="1" w:styleId="29">
    <w:name w:val="批注框文本 字符"/>
    <w:link w:val="13"/>
    <w:semiHidden/>
    <w:qFormat/>
    <w:locked/>
    <w:uiPriority w:val="99"/>
    <w:rPr>
      <w:rFonts w:ascii="Calibri" w:hAnsi="Calibri" w:cs="Arial"/>
      <w:sz w:val="2"/>
    </w:rPr>
  </w:style>
  <w:style w:type="character" w:customStyle="1" w:styleId="30">
    <w:name w:val="页脚 字符"/>
    <w:link w:val="14"/>
    <w:semiHidden/>
    <w:qFormat/>
    <w:locked/>
    <w:uiPriority w:val="99"/>
    <w:rPr>
      <w:rFonts w:ascii="Calibri" w:hAnsi="Calibri" w:cs="Arial"/>
      <w:sz w:val="18"/>
      <w:szCs w:val="18"/>
    </w:rPr>
  </w:style>
  <w:style w:type="character" w:customStyle="1" w:styleId="31">
    <w:name w:val="页眉 字符"/>
    <w:link w:val="15"/>
    <w:semiHidden/>
    <w:qFormat/>
    <w:locked/>
    <w:uiPriority w:val="99"/>
    <w:rPr>
      <w:rFonts w:ascii="Calibri" w:hAnsi="Calibri" w:cs="Arial"/>
      <w:sz w:val="18"/>
      <w:szCs w:val="18"/>
    </w:rPr>
  </w:style>
  <w:style w:type="character" w:customStyle="1" w:styleId="32">
    <w:name w:val="批注主题 字符"/>
    <w:link w:val="21"/>
    <w:qFormat/>
    <w:locked/>
    <w:uiPriority w:val="99"/>
    <w:rPr>
      <w:rFonts w:ascii="Calibri" w:hAnsi="Calibri" w:cs="Arial"/>
      <w:kern w:val="2"/>
      <w:sz w:val="22"/>
      <w:szCs w:val="22"/>
    </w:rPr>
  </w:style>
  <w:style w:type="paragraph" w:customStyle="1" w:styleId="33">
    <w:name w:val="列出段落1"/>
    <w:basedOn w:val="1"/>
    <w:qFormat/>
    <w:uiPriority w:val="99"/>
    <w:pPr>
      <w:ind w:firstLine="200" w:firstLineChars="200"/>
    </w:pPr>
  </w:style>
  <w:style w:type="paragraph" w:customStyle="1" w:styleId="34">
    <w:name w:val="表格"/>
    <w:basedOn w:val="1"/>
    <w:next w:val="1"/>
    <w:qFormat/>
    <w:uiPriority w:val="99"/>
    <w:pPr>
      <w:widowControl/>
      <w:adjustRightInd w:val="0"/>
      <w:spacing w:line="312" w:lineRule="exact"/>
      <w:ind w:left="-35" w:leftChars="-35" w:right="-35" w:rightChars="-35"/>
      <w:jc w:val="center"/>
    </w:pPr>
    <w:rPr>
      <w:rFonts w:cs="Times New Roman"/>
      <w:spacing w:val="6"/>
      <w:kern w:val="0"/>
      <w:sz w:val="18"/>
      <w:szCs w:val="20"/>
    </w:rPr>
  </w:style>
  <w:style w:type="paragraph" w:customStyle="1" w:styleId="35">
    <w:name w:val="表格格式"/>
    <w:basedOn w:val="1"/>
    <w:qFormat/>
    <w:uiPriority w:val="99"/>
    <w:pPr>
      <w:jc w:val="center"/>
    </w:pPr>
    <w:rPr>
      <w:rFonts w:ascii="Times New Roman" w:hAnsi="Times New Roman" w:eastAsia="仿宋_GB2312" w:cs="Times New Roman"/>
      <w:szCs w:val="24"/>
    </w:rPr>
  </w:style>
  <w:style w:type="character" w:customStyle="1" w:styleId="36">
    <w:name w:val="font21"/>
    <w:qFormat/>
    <w:uiPriority w:val="99"/>
    <w:rPr>
      <w:rFonts w:ascii="宋体" w:eastAsia="宋体" w:cs="宋体"/>
      <w:color w:val="000000"/>
      <w:sz w:val="18"/>
      <w:szCs w:val="18"/>
      <w:u w:val="none"/>
    </w:rPr>
  </w:style>
  <w:style w:type="character" w:customStyle="1" w:styleId="37">
    <w:name w:val="Char Char1"/>
    <w:qFormat/>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4768</Words>
  <Characters>27183</Characters>
  <Lines>226</Lines>
  <Paragraphs>63</Paragraphs>
  <TotalTime>0</TotalTime>
  <ScaleCrop>false</ScaleCrop>
  <LinksUpToDate>false</LinksUpToDate>
  <CharactersWithSpaces>31888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2021-01-25T01:44:00Z</dcterms:created>
  <dc:creator>小吴</dc:creator>
  <cp:lastModifiedBy>哎呦呦</cp:lastModifiedBy>
  <cp:lastPrinted>2022-04-08T03:22:00Z</cp:lastPrinted>
  <dcterms:modified xsi:type="dcterms:W3CDTF">2023-03-28T01:56:07Z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63A02CA4E78E48109B526F13E03A9191</vt:lpwstr>
  </property>
</Properties>
</file>