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咸宁市地下水污染防治重点区划定方案</w:t>
      </w:r>
    </w:p>
    <w:p>
      <w:pPr>
        <w:spacing w:line="560" w:lineRule="exact"/>
        <w:ind w:firstLine="640" w:firstLineChars="200"/>
        <w:jc w:val="cente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eastAsia="zh-CN"/>
        </w:rPr>
        <w:t>（征求意见稿）</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_GB2312" w:eastAsia="仿宋_GB2312" w:cs="仿宋_GB2312"/>
          <w:sz w:val="32"/>
          <w:szCs w:val="32"/>
          <w:highlight w:val="none"/>
        </w:rPr>
      </w:pPr>
      <w:bookmarkStart w:id="1" w:name="_GoBack"/>
    </w:p>
    <w:bookmarkEnd w:id="1"/>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为全面贯彻习近平总书记对地下水污染防治工作的重要批示指示精神，中央、省深入打好污染防治攻坚战的要求，依据《中华人民共和国水污染防治法》《中华人民共和国长江保护法》《</w:t>
      </w:r>
      <w:bookmarkStart w:id="0" w:name="_Hlk148304362"/>
      <w:r>
        <w:rPr>
          <w:rFonts w:hint="eastAsia" w:ascii="仿宋_GB2312" w:hAnsi="仿宋_GB2312" w:eastAsia="仿宋_GB2312" w:cs="仿宋_GB2312"/>
          <w:sz w:val="32"/>
          <w:szCs w:val="32"/>
          <w:highlight w:val="none"/>
        </w:rPr>
        <w:t>地下水管理条例</w:t>
      </w:r>
      <w:bookmarkEnd w:id="0"/>
      <w:r>
        <w:rPr>
          <w:rFonts w:hint="eastAsia" w:ascii="仿宋_GB2312" w:hAnsi="仿宋_GB2312" w:eastAsia="仿宋_GB2312" w:cs="仿宋_GB2312"/>
          <w:sz w:val="32"/>
          <w:szCs w:val="32"/>
          <w:highlight w:val="none"/>
        </w:rPr>
        <w:t>》等法律法规，加强我市地下水环境管理，切实维护和改善地下水环境质量，结合我市实际，制定《咸宁市地下水污染防治重点区划定方案》（以下简称《方案》）。</w:t>
      </w:r>
    </w:p>
    <w:p>
      <w:pPr>
        <w:spacing w:line="560" w:lineRule="exact"/>
        <w:ind w:firstLine="640" w:firstLineChars="200"/>
        <w:outlineLvl w:val="0"/>
        <w:rPr>
          <w:rFonts w:ascii="黑体" w:hAnsi="黑体" w:eastAsia="黑体" w:cs="黑体"/>
          <w:sz w:val="32"/>
          <w:szCs w:val="32"/>
          <w:highlight w:val="none"/>
        </w:rPr>
      </w:pPr>
      <w:r>
        <w:rPr>
          <w:rFonts w:hint="eastAsia" w:ascii="黑体" w:hAnsi="黑体" w:eastAsia="黑体" w:cs="黑体"/>
          <w:sz w:val="32"/>
          <w:szCs w:val="32"/>
          <w:highlight w:val="none"/>
        </w:rPr>
        <w:t>一、总体要求</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（一）指导思想</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习近平生态文明思想为根本遵循，以保障地下水环境安全和可持续利用为核心，按照保护优先、预防为主的总体方针，全力做好地下水污染源管控，明确环境监测、隐患排查、风险管控、环境准入等差别化环境管理要求，控制地下水污染增量，逐步削减存量，实现全市地下水资源可持续利用，推动经济社会可持续发展。</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（二）基本原则</w:t>
      </w:r>
    </w:p>
    <w:p>
      <w:pPr>
        <w:spacing w:line="560" w:lineRule="exact"/>
        <w:ind w:firstLine="642"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预防为主，风险管控。</w:t>
      </w:r>
      <w:r>
        <w:rPr>
          <w:rFonts w:hint="eastAsia" w:ascii="仿宋_GB2312" w:hAnsi="仿宋_GB2312" w:eastAsia="仿宋_GB2312" w:cs="仿宋_GB2312"/>
          <w:sz w:val="32"/>
          <w:szCs w:val="32"/>
          <w:highlight w:val="none"/>
        </w:rPr>
        <w:t>加强地下水污染源头预防，统筹开展地下水与地表水、土壤污染防治，全面推进地下水污染风险管控，保障地下水环境质量总体稳定。</w:t>
      </w:r>
    </w:p>
    <w:p>
      <w:pPr>
        <w:spacing w:line="560" w:lineRule="exact"/>
        <w:ind w:firstLine="642"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科学精准，分区防治。</w:t>
      </w:r>
      <w:r>
        <w:rPr>
          <w:rFonts w:hint="eastAsia" w:ascii="仿宋_GB2312" w:hAnsi="仿宋_GB2312" w:eastAsia="仿宋_GB2312" w:cs="仿宋_GB2312"/>
          <w:sz w:val="32"/>
          <w:szCs w:val="32"/>
          <w:highlight w:val="none"/>
        </w:rPr>
        <w:t>通过对咸宁市地下水污染源现状分析，围绕区域宏观战略布局，结合行业地下水污染特点，将地下水重点区划分为保护类区域和管控类区域，制定分区差别化管理策略，切实有效提升地下水水质安全保障和污染防治能力。</w:t>
      </w:r>
    </w:p>
    <w:p>
      <w:pPr>
        <w:spacing w:line="560" w:lineRule="exact"/>
        <w:ind w:firstLine="642"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健全机制，长效监管。</w:t>
      </w:r>
      <w:r>
        <w:rPr>
          <w:rFonts w:hint="eastAsia" w:ascii="仿宋_GB2312" w:hAnsi="仿宋_GB2312" w:eastAsia="仿宋_GB2312" w:cs="仿宋_GB2312"/>
          <w:sz w:val="32"/>
          <w:szCs w:val="32"/>
          <w:highlight w:val="none"/>
        </w:rPr>
        <w:t>针对不同区域，根据环境监测、隐患排查、风险管控、环境准入等管理要求，明确生态环境、城乡水务、自然资源等各级各相关部门职责，建立分工明确、协同联动的地下水污染防治监管的长效机制。</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（三）主要目标</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2024年底，细化地下水污染防治重点区划定成果，明确分区管控措施，形成划定方案，完成多部门联合印发。</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2025年底，落实分区管控措施，推动地下水环境分区管理、分级防治，初步建立咸宁市地下水污染防治重点区管控体系。</w:t>
      </w:r>
    </w:p>
    <w:p>
      <w:pPr>
        <w:spacing w:line="560" w:lineRule="exact"/>
        <w:ind w:firstLine="640" w:firstLineChars="200"/>
        <w:outlineLvl w:val="0"/>
        <w:rPr>
          <w:rFonts w:ascii="黑体" w:hAnsi="黑体" w:eastAsia="黑体" w:cs="黑体"/>
          <w:sz w:val="32"/>
          <w:szCs w:val="32"/>
          <w:highlight w:val="none"/>
        </w:rPr>
      </w:pPr>
      <w:r>
        <w:rPr>
          <w:rFonts w:hint="eastAsia" w:ascii="黑体" w:hAnsi="黑体" w:eastAsia="黑体" w:cs="黑体"/>
          <w:sz w:val="32"/>
          <w:szCs w:val="32"/>
          <w:highlight w:val="none"/>
        </w:rPr>
        <w:t>二、划定方法</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地下水污染防治重点区划定技术指南（试行）》（环办土壤函〔2023〕299号），通过对地下水型饮用水水源和地下水富水性、环境质量现状、脆弱性、污染源荷载评估结果，结合咸宁市产业布局和污染源特点，将咸宁市地下水污染防治重点区划分为保护类区域和管控类区域。</w:t>
      </w:r>
    </w:p>
    <w:p>
      <w:pPr>
        <w:spacing w:line="560" w:lineRule="exact"/>
        <w:ind w:firstLine="640" w:firstLineChars="200"/>
        <w:rPr>
          <w:rFonts w:ascii="仿宋_GB2312" w:hAnsi="仿宋_GB2312" w:eastAsia="仿宋_GB2312" w:cs="仿宋_GB2312"/>
          <w:sz w:val="32"/>
          <w:szCs w:val="32"/>
          <w:highlight w:val="none"/>
        </w:rPr>
      </w:pPr>
      <w:r>
        <w:rPr>
          <w:rFonts w:hint="eastAsia" w:ascii="楷体_GB2312" w:hAnsi="楷体_GB2312" w:eastAsia="楷体_GB2312" w:cs="楷体_GB2312"/>
          <w:b w:val="0"/>
          <w:bCs/>
          <w:sz w:val="32"/>
          <w:szCs w:val="32"/>
          <w:highlight w:val="none"/>
        </w:rPr>
        <w:t>（一）保护类区域。</w:t>
      </w:r>
      <w:r>
        <w:rPr>
          <w:rFonts w:hint="eastAsia" w:ascii="仿宋_GB2312" w:hAnsi="仿宋_GB2312" w:eastAsia="仿宋_GB2312" w:cs="仿宋_GB2312"/>
          <w:sz w:val="32"/>
          <w:szCs w:val="32"/>
          <w:highlight w:val="none"/>
        </w:rPr>
        <w:t>包括地下水型饮用水水源一级保护区、二级保护区、准保护区、补给区，以及矿泉水、名泉等特殊地下水资源保护区域。</w:t>
      </w:r>
    </w:p>
    <w:p>
      <w:pPr>
        <w:spacing w:line="560" w:lineRule="exact"/>
        <w:ind w:firstLine="640" w:firstLineChars="200"/>
        <w:rPr>
          <w:rFonts w:ascii="仿宋_GB2312" w:hAnsi="仿宋_GB2312" w:eastAsia="仿宋_GB2312" w:cs="仿宋_GB2312"/>
          <w:sz w:val="32"/>
          <w:szCs w:val="32"/>
          <w:highlight w:val="none"/>
        </w:rPr>
      </w:pPr>
      <w:r>
        <w:rPr>
          <w:rFonts w:hint="eastAsia" w:ascii="楷体_GB2312" w:hAnsi="楷体_GB2312" w:eastAsia="楷体_GB2312" w:cs="楷体_GB2312"/>
          <w:b w:val="0"/>
          <w:bCs/>
          <w:sz w:val="32"/>
          <w:szCs w:val="32"/>
          <w:highlight w:val="none"/>
        </w:rPr>
        <w:t>（二）管控类区域。</w:t>
      </w:r>
      <w:r>
        <w:rPr>
          <w:rFonts w:hint="eastAsia" w:ascii="仿宋_GB2312" w:hAnsi="仿宋_GB2312" w:eastAsia="仿宋_GB2312" w:cs="仿宋_GB2312"/>
          <w:sz w:val="32"/>
          <w:szCs w:val="32"/>
          <w:highlight w:val="none"/>
        </w:rPr>
        <w:t>基于地下水功能价值评估、地下水脆弱性评估结果，扣除保护类区域，划定管控类区域，结合地下水污染源荷载评估结果，将管控类区域，划分为一级管控区和二级管控区。一级管控区为地下水功能价值高、脆弱性高、荷载高的区域；二级管控区为地下水功能价值高、脆弱性高、荷载中等或低的区域。</w:t>
      </w:r>
    </w:p>
    <w:p>
      <w:pPr>
        <w:spacing w:line="560" w:lineRule="exact"/>
        <w:ind w:firstLine="640" w:firstLineChars="200"/>
        <w:outlineLvl w:val="0"/>
        <w:rPr>
          <w:rFonts w:ascii="黑体" w:hAnsi="黑体" w:eastAsia="黑体" w:cs="黑体"/>
          <w:sz w:val="32"/>
          <w:szCs w:val="32"/>
          <w:highlight w:val="none"/>
        </w:rPr>
      </w:pPr>
      <w:r>
        <w:rPr>
          <w:rFonts w:hint="eastAsia" w:ascii="黑体" w:hAnsi="黑体" w:eastAsia="黑体" w:cs="黑体"/>
          <w:sz w:val="32"/>
          <w:szCs w:val="32"/>
          <w:highlight w:val="none"/>
        </w:rPr>
        <w:t>三、划定结果</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咸宁市地下水污染防治重点区划定成果图见附件1。全市地下水污染防治重点区总面积</w:t>
      </w:r>
      <w:r>
        <w:rPr>
          <w:rFonts w:ascii="仿宋_GB2312" w:hAnsi="仿宋_GB2312" w:eastAsia="仿宋_GB2312" w:cs="仿宋_GB2312"/>
          <w:sz w:val="32"/>
          <w:szCs w:val="32"/>
          <w:highlight w:val="none"/>
        </w:rPr>
        <w:t>795.1</w:t>
      </w:r>
      <w:r>
        <w:rPr>
          <w:rFonts w:hint="eastAsia" w:ascii="仿宋_GB2312" w:hAnsi="仿宋_GB2312" w:eastAsia="仿宋_GB2312" w:cs="仿宋_GB2312"/>
          <w:sz w:val="32"/>
          <w:szCs w:val="32"/>
          <w:highlight w:val="none"/>
        </w:rPr>
        <w:t>km</w:t>
      </w:r>
      <w:r>
        <w:rPr>
          <w:rFonts w:hint="eastAsia" w:ascii="仿宋_GB2312" w:hAnsi="仿宋_GB2312" w:eastAsia="仿宋_GB2312" w:cs="仿宋_GB2312"/>
          <w:sz w:val="32"/>
          <w:szCs w:val="32"/>
          <w:highlight w:val="none"/>
          <w:vertAlign w:val="superscript"/>
        </w:rPr>
        <w:t>2</w:t>
      </w:r>
      <w:r>
        <w:rPr>
          <w:rFonts w:hint="eastAsia" w:ascii="仿宋_GB2312" w:hAnsi="仿宋_GB2312" w:eastAsia="仿宋_GB2312" w:cs="仿宋_GB2312"/>
          <w:sz w:val="32"/>
          <w:szCs w:val="32"/>
          <w:highlight w:val="none"/>
        </w:rPr>
        <w:t>，占全市国土面积的</w:t>
      </w:r>
      <w:r>
        <w:rPr>
          <w:rFonts w:ascii="仿宋_GB2312" w:hAnsi="仿宋_GB2312" w:eastAsia="仿宋_GB2312" w:cs="仿宋_GB2312"/>
          <w:sz w:val="32"/>
          <w:szCs w:val="32"/>
          <w:highlight w:val="none"/>
        </w:rPr>
        <w:t>8.15</w:t>
      </w:r>
      <w:r>
        <w:rPr>
          <w:rFonts w:hint="eastAsia" w:ascii="仿宋_GB2312" w:hAnsi="仿宋_GB2312" w:eastAsia="仿宋_GB2312" w:cs="仿宋_GB2312"/>
          <w:sz w:val="32"/>
          <w:szCs w:val="32"/>
          <w:highlight w:val="none"/>
        </w:rPr>
        <w:t>%。</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楷体" w:hAnsi="楷体" w:eastAsia="楷体" w:cs="楷体"/>
          <w:b w:val="0"/>
          <w:sz w:val="32"/>
          <w:szCs w:val="32"/>
          <w:highlight w:val="none"/>
        </w:rPr>
        <w:t>（一）保护类区域。</w:t>
      </w:r>
      <w:r>
        <w:rPr>
          <w:rFonts w:hint="eastAsia" w:ascii="仿宋_GB2312" w:hAnsi="仿宋_GB2312" w:eastAsia="仿宋_GB2312" w:cs="仿宋_GB2312"/>
          <w:sz w:val="32"/>
          <w:szCs w:val="32"/>
          <w:lang w:eastAsia="zh-CN"/>
        </w:rPr>
        <w:t>咸宁市</w:t>
      </w:r>
      <w:r>
        <w:rPr>
          <w:rFonts w:hint="eastAsia" w:ascii="仿宋_GB2312" w:hAnsi="仿宋_GB2312" w:eastAsia="仿宋_GB2312" w:cs="仿宋_GB2312"/>
          <w:sz w:val="32"/>
          <w:szCs w:val="32"/>
        </w:rPr>
        <w:t>保护类区域总面积</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highlight w:val="none"/>
        </w:rPr>
      </w:pPr>
      <w:r>
        <w:rPr>
          <w:rFonts w:hint="eastAsia" w:ascii="楷体_GB2312" w:hAnsi="楷体_GB2312" w:eastAsia="楷体_GB2312" w:cs="楷体_GB2312"/>
          <w:b w:val="0"/>
          <w:bCs/>
          <w:sz w:val="32"/>
          <w:szCs w:val="32"/>
          <w:highlight w:val="none"/>
        </w:rPr>
        <w:t>（二）管控类区域。</w:t>
      </w:r>
      <w:r>
        <w:rPr>
          <w:rFonts w:hint="eastAsia" w:ascii="仿宋_GB2312" w:hAnsi="仿宋_GB2312" w:eastAsia="仿宋_GB2312" w:cs="仿宋_GB2312"/>
          <w:sz w:val="32"/>
          <w:szCs w:val="32"/>
          <w:highlight w:val="none"/>
        </w:rPr>
        <w:t>管控类区域总面积</w:t>
      </w:r>
      <w:r>
        <w:rPr>
          <w:rFonts w:ascii="仿宋_GB2312" w:hAnsi="仿宋_GB2312" w:eastAsia="仿宋_GB2312" w:cs="仿宋_GB2312"/>
          <w:sz w:val="32"/>
          <w:szCs w:val="32"/>
          <w:highlight w:val="none"/>
        </w:rPr>
        <w:t>787.4</w:t>
      </w:r>
      <w:r>
        <w:rPr>
          <w:rFonts w:hint="eastAsia" w:ascii="仿宋_GB2312" w:hAnsi="仿宋_GB2312" w:eastAsia="仿宋_GB2312" w:cs="仿宋_GB2312"/>
          <w:sz w:val="32"/>
          <w:szCs w:val="32"/>
          <w:highlight w:val="none"/>
        </w:rPr>
        <w:t>km</w:t>
      </w:r>
      <w:r>
        <w:rPr>
          <w:rFonts w:hint="eastAsia" w:ascii="仿宋_GB2312" w:hAnsi="仿宋_GB2312" w:eastAsia="仿宋_GB2312" w:cs="仿宋_GB2312"/>
          <w:sz w:val="32"/>
          <w:szCs w:val="32"/>
          <w:highlight w:val="none"/>
          <w:vertAlign w:val="superscript"/>
        </w:rPr>
        <w:t>2</w:t>
      </w:r>
      <w:r>
        <w:rPr>
          <w:rFonts w:hint="eastAsia" w:ascii="仿宋_GB2312" w:hAnsi="仿宋_GB2312" w:eastAsia="仿宋_GB2312" w:cs="仿宋_GB2312"/>
          <w:sz w:val="32"/>
          <w:szCs w:val="32"/>
          <w:highlight w:val="none"/>
        </w:rPr>
        <w:t>，占全市国土面积</w:t>
      </w:r>
      <w:r>
        <w:rPr>
          <w:rFonts w:ascii="仿宋_GB2312" w:hAnsi="仿宋_GB2312" w:eastAsia="仿宋_GB2312" w:cs="仿宋_GB2312"/>
          <w:sz w:val="32"/>
          <w:szCs w:val="32"/>
          <w:highlight w:val="none"/>
        </w:rPr>
        <w:t>8.08</w:t>
      </w:r>
      <w:r>
        <w:rPr>
          <w:rFonts w:hint="eastAsia" w:ascii="仿宋_GB2312" w:hAnsi="仿宋_GB2312" w:eastAsia="仿宋_GB2312" w:cs="仿宋_GB2312"/>
          <w:sz w:val="32"/>
          <w:szCs w:val="32"/>
          <w:highlight w:val="none"/>
        </w:rPr>
        <w:t>%。一级管控区面积</w:t>
      </w:r>
      <w:r>
        <w:rPr>
          <w:rFonts w:ascii="仿宋_GB2312" w:hAnsi="仿宋_GB2312" w:eastAsia="仿宋_GB2312" w:cs="仿宋_GB2312"/>
          <w:sz w:val="32"/>
          <w:szCs w:val="32"/>
          <w:highlight w:val="none"/>
        </w:rPr>
        <w:t>4.69</w:t>
      </w:r>
      <w:r>
        <w:rPr>
          <w:rFonts w:hint="eastAsia" w:ascii="仿宋_GB2312" w:hAnsi="仿宋_GB2312" w:eastAsia="仿宋_GB2312" w:cs="仿宋_GB2312"/>
          <w:sz w:val="32"/>
          <w:szCs w:val="32"/>
          <w:highlight w:val="none"/>
        </w:rPr>
        <w:t>km</w:t>
      </w:r>
      <w:r>
        <w:rPr>
          <w:rFonts w:hint="eastAsia" w:ascii="仿宋_GB2312" w:hAnsi="仿宋_GB2312" w:eastAsia="仿宋_GB2312" w:cs="仿宋_GB2312"/>
          <w:sz w:val="32"/>
          <w:szCs w:val="32"/>
          <w:highlight w:val="none"/>
          <w:vertAlign w:val="superscript"/>
        </w:rPr>
        <w:t>2</w:t>
      </w:r>
      <w:r>
        <w:rPr>
          <w:rFonts w:hint="eastAsia" w:ascii="仿宋_GB2312" w:hAnsi="仿宋_GB2312" w:eastAsia="仿宋_GB2312" w:cs="仿宋_GB2312"/>
          <w:sz w:val="32"/>
          <w:szCs w:val="32"/>
          <w:highlight w:val="none"/>
        </w:rPr>
        <w:t>，占全市国土面积</w:t>
      </w:r>
      <w:r>
        <w:rPr>
          <w:rFonts w:ascii="仿宋_GB2312" w:hAnsi="仿宋_GB2312" w:eastAsia="仿宋_GB2312" w:cs="仿宋_GB2312"/>
          <w:sz w:val="32"/>
          <w:szCs w:val="32"/>
          <w:highlight w:val="none"/>
        </w:rPr>
        <w:t>0.048</w:t>
      </w:r>
      <w:r>
        <w:rPr>
          <w:rFonts w:hint="eastAsia" w:ascii="仿宋_GB2312" w:hAnsi="仿宋_GB2312" w:eastAsia="仿宋_GB2312" w:cs="仿宋_GB2312"/>
          <w:sz w:val="32"/>
          <w:szCs w:val="32"/>
          <w:highlight w:val="none"/>
        </w:rPr>
        <w:t>%；二级管控区面积</w:t>
      </w:r>
      <w:r>
        <w:rPr>
          <w:rFonts w:ascii="仿宋_GB2312" w:hAnsi="仿宋_GB2312" w:eastAsia="仿宋_GB2312" w:cs="仿宋_GB2312"/>
          <w:sz w:val="32"/>
          <w:szCs w:val="32"/>
          <w:highlight w:val="none"/>
        </w:rPr>
        <w:t>782.7</w:t>
      </w:r>
      <w:r>
        <w:rPr>
          <w:rFonts w:hint="eastAsia" w:ascii="仿宋_GB2312" w:hAnsi="仿宋_GB2312" w:eastAsia="仿宋_GB2312" w:cs="仿宋_GB2312"/>
          <w:sz w:val="32"/>
          <w:szCs w:val="32"/>
          <w:highlight w:val="none"/>
        </w:rPr>
        <w:t>km</w:t>
      </w:r>
      <w:r>
        <w:rPr>
          <w:rFonts w:hint="eastAsia" w:ascii="仿宋_GB2312" w:hAnsi="仿宋_GB2312" w:eastAsia="仿宋_GB2312" w:cs="仿宋_GB2312"/>
          <w:sz w:val="32"/>
          <w:szCs w:val="32"/>
          <w:highlight w:val="none"/>
          <w:vertAlign w:val="superscript"/>
        </w:rPr>
        <w:t>2</w:t>
      </w:r>
      <w:r>
        <w:rPr>
          <w:rFonts w:hint="eastAsia" w:ascii="仿宋_GB2312" w:hAnsi="仿宋_GB2312" w:eastAsia="仿宋_GB2312" w:cs="仿宋_GB2312"/>
          <w:sz w:val="32"/>
          <w:szCs w:val="32"/>
          <w:highlight w:val="none"/>
        </w:rPr>
        <w:t>，占全市国土面积</w:t>
      </w:r>
      <w:r>
        <w:rPr>
          <w:rFonts w:ascii="仿宋_GB2312" w:hAnsi="仿宋_GB2312" w:eastAsia="仿宋_GB2312" w:cs="仿宋_GB2312"/>
          <w:sz w:val="32"/>
          <w:szCs w:val="32"/>
          <w:highlight w:val="none"/>
        </w:rPr>
        <w:t>8.03</w:t>
      </w:r>
      <w:r>
        <w:rPr>
          <w:rFonts w:hint="eastAsia" w:ascii="仿宋_GB2312" w:hAnsi="仿宋_GB2312" w:eastAsia="仿宋_GB2312" w:cs="仿宋_GB2312"/>
          <w:sz w:val="32"/>
          <w:szCs w:val="32"/>
          <w:highlight w:val="none"/>
        </w:rPr>
        <w:t>%。一级管控区内重点地下水污染源</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个、二级管控区内重点地下水污染源</w:t>
      </w:r>
      <w:r>
        <w:rPr>
          <w:rFonts w:ascii="仿宋_GB2312" w:hAnsi="仿宋_GB2312" w:eastAsia="仿宋_GB2312" w:cs="仿宋_GB2312"/>
          <w:sz w:val="32"/>
          <w:szCs w:val="32"/>
          <w:highlight w:val="none"/>
        </w:rPr>
        <w:t>10</w:t>
      </w:r>
      <w:r>
        <w:rPr>
          <w:rFonts w:hint="eastAsia" w:ascii="仿宋_GB2312" w:hAnsi="仿宋_GB2312" w:eastAsia="仿宋_GB2312" w:cs="仿宋_GB2312"/>
          <w:sz w:val="32"/>
          <w:szCs w:val="32"/>
          <w:highlight w:val="none"/>
        </w:rPr>
        <w:t>个。详见附件4、附件</w:t>
      </w:r>
      <w:r>
        <w:rPr>
          <w:rFonts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rPr>
        <w:t>。</w:t>
      </w:r>
    </w:p>
    <w:p>
      <w:pPr>
        <w:spacing w:line="560" w:lineRule="exact"/>
        <w:ind w:firstLine="640" w:firstLineChars="200"/>
        <w:outlineLvl w:val="0"/>
        <w:rPr>
          <w:rFonts w:ascii="黑体" w:hAnsi="黑体" w:eastAsia="黑体" w:cs="黑体"/>
          <w:sz w:val="32"/>
          <w:szCs w:val="32"/>
          <w:highlight w:val="none"/>
        </w:rPr>
      </w:pPr>
      <w:r>
        <w:rPr>
          <w:rFonts w:hint="eastAsia" w:ascii="黑体" w:hAnsi="黑体" w:eastAsia="黑体" w:cs="黑体"/>
          <w:sz w:val="32"/>
          <w:szCs w:val="32"/>
          <w:highlight w:val="none"/>
        </w:rPr>
        <w:t>四、管理要求</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（一）保护类区域</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保护类区域严格落实地下水型饮用水水源相关保护政策。咸宁市无在用的千吨万人级地下水型饮用水水源，无名泉、矿泉水等特殊地下水资源保护区，暂不执行保护类区域管理要求。</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（二）管控类区域</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管控区类区域严格落实《中华人民共和国水污染防治法》等地下水污染防治要求，一级管控区以“强化地下水污染管控，防控风险削减存量”为主，二级管控区以“强化地下水资源保护，预防污染防止新增”为主，在环境监测、隐患排查、风险管控、环境准入等方面制定差别化管理措施。</w:t>
      </w:r>
    </w:p>
    <w:p>
      <w:pPr>
        <w:spacing w:line="560" w:lineRule="exact"/>
        <w:ind w:firstLine="642"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1.环境监测</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（1）化学品生产企业以及工业聚集区、矿山开采区、危险废物处置场、垃圾填埋场等的运营、管理单位应定期按照《地下水环境监测技术规范》（HJ 164-2020）要求开展地下水水质监测。（《水污染防治法》第40条）其中，土壤重点监管单位参照《工业企业土壤和地下水自行监测技术指南（试行）》（HJ 1209-2021）制定自行监测方案，开展地下水自行监测，其中一级管控区内所有地下水点位监测频次按照一类单元执行。</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（2）地下水污染防治重点排污单位应依法安装水污染物排放自动监测设备，与生态环境主管部门的监控设备联网，并保证监测设备正常运行。</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优先将管控类区域中的关闭搬迁企业（曾用于生产、使用、贮存、回收、处置有毒有害物质的，曾用于固体废物堆放、填埋的，曾发生过重大、特大污染事故的）纳入优先监管地块清单中，并依法开展重点监测。</w:t>
      </w:r>
    </w:p>
    <w:p>
      <w:pPr>
        <w:spacing w:line="560" w:lineRule="exact"/>
        <w:ind w:firstLine="642"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2.隐患排查</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（1）土壤污染重点监管单位参照《重点监管单位土壤污染隐患排查指南（试行）》（生态环境部 公告 2021年 第1号）等开展隐患排查，可结合行业特点和环境监测结果，一级管控区至少每2年开展一次排查，二级管控区至少每3年开展一次排查。发现污染隐患的，应制定整改方案并及时采取措施消除或者降低隐患。</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土壤重点监管单位新、改、扩建项目地下储罐储存有毒有害物质的，应当在项目投入生产或者使用之前，将地下储罐的信息报所在地设区的市级生态环境主管部门备案，并纳入隐患排查重点关注对象，相关工作纳入生态环境主管部门监督与检查的工作重点。</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（3）土壤污染重点监管单位严格控制有毒有害物质排放，纳入排污许可证年度执行报告，并在全国排污许可证管理信息平台上记载。</w:t>
      </w:r>
    </w:p>
    <w:p>
      <w:pPr>
        <w:spacing w:line="560" w:lineRule="exact"/>
        <w:ind w:firstLine="642"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3.风险管控</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对发现污染扩散场（园）区界外的企业或园区，要根据《土壤污染防治法》要求，通知土地使用权人开展土壤和地下水污染状况详细调查，查清周边土壤地下水污染状况，督促企业排查污染来源，查明污染成因，及时采取源头管控、边生产边管控措施，防止污染新增、扩散和加重。</w:t>
      </w:r>
    </w:p>
    <w:p>
      <w:pPr>
        <w:ind w:firstLine="640" w:firstLineChars="200"/>
        <w:rPr>
          <w:rFonts w:hint="eastAsia" w:ascii="仿宋_GB2312" w:hAnsi="仿宋_GB2312" w:eastAsia="仿宋_GB2312" w:cs="仿宋_GB2312"/>
          <w:sz w:val="32"/>
          <w:szCs w:val="32"/>
          <w:highlight w:val="none"/>
          <w:lang w:eastAsia="zh-CN"/>
        </w:rPr>
      </w:pPr>
      <w:r>
        <w:rPr>
          <w:rFonts w:ascii="仿宋_GB2312" w:hAnsi="仿宋_GB2312" w:eastAsia="仿宋_GB2312" w:cs="仿宋_GB2312"/>
          <w:sz w:val="32"/>
          <w:szCs w:val="32"/>
        </w:rPr>
        <w:t>（2）管控区内优先监管地块清单中的地块，根据重点监测结果，</w:t>
      </w:r>
      <w:r>
        <w:rPr>
          <w:rFonts w:hint="eastAsia" w:ascii="仿宋_GB2312" w:hAnsi="仿宋_GB2312" w:eastAsia="仿宋_GB2312" w:cs="仿宋_GB2312"/>
          <w:sz w:val="32"/>
          <w:szCs w:val="32"/>
        </w:rPr>
        <w:t>结合污染扩散情况及对周边敏感目标的影响，明确地块污染管控要求，</w:t>
      </w:r>
      <w:r>
        <w:rPr>
          <w:rFonts w:ascii="仿宋_GB2312" w:hAnsi="仿宋_GB2312" w:eastAsia="仿宋_GB2312" w:cs="仿宋_GB2312"/>
          <w:sz w:val="32"/>
          <w:szCs w:val="32"/>
        </w:rPr>
        <w:t>土壤和地下水超标的，</w:t>
      </w:r>
      <w:r>
        <w:rPr>
          <w:rFonts w:hint="default" w:ascii="仿宋_GB2312" w:hAnsi="仿宋_GB2312" w:eastAsia="仿宋_GB2312" w:cs="仿宋_GB2312"/>
          <w:sz w:val="32"/>
          <w:szCs w:val="32"/>
        </w:rPr>
        <w:t>一级管控区内的场地应于</w:t>
      </w:r>
      <w:r>
        <w:rPr>
          <w:rFonts w:ascii="仿宋_GB2312" w:hAnsi="仿宋_GB2312" w:eastAsia="仿宋_GB2312" w:cs="仿宋_GB2312"/>
          <w:sz w:val="32"/>
          <w:szCs w:val="32"/>
        </w:rPr>
        <w:t>1年内启动</w:t>
      </w:r>
      <w:r>
        <w:rPr>
          <w:rFonts w:hint="default" w:ascii="仿宋_GB2312" w:hAnsi="仿宋_GB2312" w:eastAsia="仿宋_GB2312" w:cs="仿宋_GB2312"/>
          <w:sz w:val="32"/>
          <w:szCs w:val="32"/>
        </w:rPr>
        <w:t>污染管控</w:t>
      </w:r>
      <w:r>
        <w:rPr>
          <w:rFonts w:ascii="仿宋_GB2312" w:hAnsi="仿宋_GB2312" w:eastAsia="仿宋_GB2312" w:cs="仿宋_GB2312"/>
          <w:sz w:val="32"/>
          <w:szCs w:val="32"/>
        </w:rPr>
        <w:t>，</w:t>
      </w:r>
      <w:r>
        <w:rPr>
          <w:rFonts w:hint="default" w:ascii="仿宋_GB2312" w:hAnsi="仿宋_GB2312" w:eastAsia="仿宋_GB2312" w:cs="仿宋_GB2312"/>
          <w:sz w:val="32"/>
          <w:szCs w:val="32"/>
        </w:rPr>
        <w:t>二级管控区内的场地应于</w:t>
      </w:r>
      <w:r>
        <w:rPr>
          <w:rFonts w:ascii="仿宋_GB2312" w:hAnsi="仿宋_GB2312" w:eastAsia="仿宋_GB2312" w:cs="仿宋_GB2312"/>
          <w:sz w:val="32"/>
          <w:szCs w:val="32"/>
        </w:rPr>
        <w:t>2年内启动</w:t>
      </w:r>
      <w:r>
        <w:rPr>
          <w:rFonts w:hint="default" w:ascii="仿宋_GB2312" w:hAnsi="仿宋_GB2312" w:eastAsia="仿宋_GB2312" w:cs="仿宋_GB2312"/>
          <w:sz w:val="32"/>
          <w:szCs w:val="32"/>
        </w:rPr>
        <w:t>污染管控。</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（3）管控类区域实行动态更新，对已完成地下水风险管控和修复的区域，经评估可调出一级管控区并纳入二级管控区实施管理；对新发现存在污染的区域，经评估可调出二级管控区并纳入一级管控区实施管理。</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（4）加强废弃井封填管理，报废的矿井、钻井、地下水取水工程，或者未建成、已完成勘探任务、依法应当停止取水的地下水取水工程，应按照规定进行废弃井封井或者回填。</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农业生产经营者等有关单位和个人应当科学、合理使用农药、肥料等农业投入品，农田灌溉用水应当符合相关水质标准；县级以上地方人民政府及其有关部门应当加强农药、肥料等农业投入品使用指导和技术服务，鼓励和引导农业生产经营者等有关单位和个人合理使用农药、肥料等农业投入品，防止地下水污染。畜禽养殖场、养殖小区应当保证其畜禽粪便、废水的综合利用或者无害化处理设施正常运转，保证污水达标排放，防止污染水环境。</w:t>
      </w:r>
    </w:p>
    <w:p>
      <w:pPr>
        <w:spacing w:line="560" w:lineRule="exact"/>
        <w:ind w:firstLine="642"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4.环境准入</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落实国家和地方有关环境准入的法律、法规、政策及区域生态环境准入清单，细化分区环境准入要求。严格控制石油加工、化学原料和化学制品制造、医药制造、化学纤维制造、有色金属冶炼、纺织印染等项目环境风险，合理布局生产装置及危险化学品仓储等设施，加强重大建设项目的科学论证。</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加强高耗能高排放项目清洁生产评价，推动能源、冶金、焦化、建材、有色、化工、印染、造纸、原料药、电镀等行业单位产品能耗、物耗和水耗及污染物排放等清洁生产改造，一级管控区需不低于行业一般水平；推进原辅材料无害化替代，降低产品中有毒有害物质含量。</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rPr>
        <w:t>）兴建地下工程设施或者进行地下勘探、采矿等活动，依法编制的环境影响评价文件中，应当包括地下水污染防治的内容，并采取防护性措施。</w:t>
      </w:r>
    </w:p>
    <w:p>
      <w:pPr>
        <w:spacing w:line="560" w:lineRule="exact"/>
        <w:ind w:firstLine="640" w:firstLineChars="200"/>
        <w:outlineLvl w:val="0"/>
        <w:rPr>
          <w:rFonts w:ascii="黑体" w:hAnsi="黑体" w:eastAsia="黑体" w:cs="黑体"/>
          <w:sz w:val="32"/>
          <w:szCs w:val="32"/>
          <w:highlight w:val="none"/>
        </w:rPr>
      </w:pPr>
      <w:r>
        <w:rPr>
          <w:rFonts w:hint="eastAsia" w:ascii="黑体" w:hAnsi="黑体" w:eastAsia="黑体" w:cs="黑体"/>
          <w:sz w:val="32"/>
          <w:szCs w:val="32"/>
          <w:highlight w:val="none"/>
        </w:rPr>
        <w:t>五、组织保障</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（一）提高思想认识，加强组织领导</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下水污染防治工作是深入打好污染防治攻坚战的重要内容，地下水水质安全和可持续利用关乎群众利益和国民经济发展大局，各区镇街道、各相关部门要充分认识地下水污染防治分区管理的重要意义，强化地下水污染源头管控，全力做好地下水污染源的管控，切实保障好地下水环境质量安全和可持续利用。</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（二）压实主体责任，建立长效机制</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区镇街道、各部门要严格按照相关法律法规和本《方案》规定，严格落实地下水污染防治重点区环境监测、隐患排查、风险管控、环境准入主体责任，定期开展地下水周边监测、地下水污染调查评价和风险评估等工作，强化地下水污染防治的源头管控。对造成地下水污染的单位或者个人应当按照“谁污染，谁治理”原则承担治理与修复的主体责任；造成严重后果的，依法追究其法律责任。</w:t>
      </w:r>
    </w:p>
    <w:p>
      <w:pPr>
        <w:spacing w:line="560" w:lineRule="exact"/>
        <w:ind w:firstLine="640" w:firstLineChars="200"/>
        <w:outlineLvl w:val="1"/>
        <w:rPr>
          <w:rFonts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rPr>
        <w:t>（三）实施评估更新，科学动态调整</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市生态环境局建立定期调整与动态更新相结合的更新调整机制。基于各类地下水污染源的调查评估、隐患排查、风险管控与修复情况，造成重点区范围变化的，对重点区进行增补和更新，原则上每3～5年更新一次，具体更新频率根据实际需求来定。</w:t>
      </w:r>
    </w:p>
    <w:p>
      <w:pPr>
        <w:spacing w:line="560" w:lineRule="exact"/>
        <w:rPr>
          <w:rFonts w:hint="eastAsia" w:ascii="仿宋_GB2312" w:hAnsi="仿宋_GB2312" w:eastAsia="仿宋_GB2312" w:cs="仿宋_GB2312"/>
          <w:b/>
          <w:bCs/>
          <w:sz w:val="32"/>
          <w:szCs w:val="32"/>
          <w:highlight w:val="none"/>
        </w:rPr>
      </w:pPr>
    </w:p>
    <w:p>
      <w:pPr>
        <w:spacing w:line="560" w:lineRule="exact"/>
        <w:rPr>
          <w:rFonts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eastAsia="zh-CN"/>
        </w:rPr>
        <w:t>　　</w:t>
      </w:r>
      <w:r>
        <w:rPr>
          <w:rFonts w:hint="eastAsia" w:ascii="仿宋_GB2312" w:hAnsi="仿宋_GB2312" w:eastAsia="仿宋_GB2312" w:cs="仿宋_GB2312"/>
          <w:b/>
          <w:bCs/>
          <w:sz w:val="32"/>
          <w:szCs w:val="32"/>
          <w:highlight w:val="none"/>
        </w:rPr>
        <w:t>附件</w:t>
      </w:r>
      <w:r>
        <w:rPr>
          <w:rFonts w:hint="eastAsia" w:ascii="仿宋_GB2312" w:hAnsi="仿宋_GB2312" w:eastAsia="仿宋_GB2312" w:cs="仿宋_GB2312"/>
          <w:sz w:val="32"/>
          <w:szCs w:val="32"/>
          <w:highlight w:val="none"/>
        </w:rPr>
        <w:t>：1.咸宁市地下水污染防治重点区划定成果图</w:t>
      </w:r>
    </w:p>
    <w:p>
      <w:pPr>
        <w:spacing w:line="560" w:lineRule="exact"/>
        <w:ind w:firstLine="1600" w:firstLineChars="5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2.咸宁市地下水污染防治重点区划定结果汇总表</w:t>
      </w:r>
    </w:p>
    <w:p>
      <w:pPr>
        <w:spacing w:line="560" w:lineRule="exact"/>
        <w:ind w:firstLine="1600" w:firstLineChars="5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3.咸宁市集中式地下水型饮用水水源清单</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rPr>
        <w:t>.一级管控区内重点地下水污染源清单</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rPr>
        <w:t>.二级管控区内重点地下水污染源清单</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rPr>
        <w:t>.咸宁市地下水质量现状分区图</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rPr>
        <w:t>.咸宁市地下水富水性分区图</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rPr>
        <w:t>咸宁市地下水功能价值分区图</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9.</w:t>
      </w:r>
      <w:r>
        <w:rPr>
          <w:rFonts w:hint="eastAsia" w:ascii="仿宋_GB2312" w:hAnsi="仿宋_GB2312" w:eastAsia="仿宋_GB2312" w:cs="仿宋_GB2312"/>
          <w:sz w:val="32"/>
          <w:szCs w:val="32"/>
          <w:highlight w:val="none"/>
        </w:rPr>
        <w:t>咸宁市地下水脆弱性分区图</w:t>
      </w:r>
    </w:p>
    <w:p>
      <w:pPr>
        <w:spacing w:line="560" w:lineRule="exact"/>
        <w:ind w:firstLine="1600" w:firstLineChars="5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10.</w:t>
      </w:r>
      <w:r>
        <w:rPr>
          <w:rFonts w:hint="eastAsia" w:ascii="仿宋_GB2312" w:hAnsi="仿宋_GB2312" w:eastAsia="仿宋_GB2312" w:cs="仿宋_GB2312"/>
          <w:sz w:val="32"/>
          <w:szCs w:val="32"/>
          <w:highlight w:val="none"/>
        </w:rPr>
        <w:t>咸宁市地下水综合污染源荷载分区图</w:t>
      </w:r>
    </w:p>
    <w:p>
      <w:pPr>
        <w:spacing w:line="560" w:lineRule="exact"/>
        <w:ind w:firstLine="1600" w:firstLineChars="500"/>
        <w:rPr>
          <w:rFonts w:ascii="仿宋_GB2312" w:hAnsi="仿宋_GB2312" w:eastAsia="仿宋_GB2312" w:cs="仿宋_GB2312"/>
          <w:sz w:val="32"/>
          <w:szCs w:val="32"/>
          <w:highlight w:val="none"/>
        </w:rPr>
      </w:pPr>
    </w:p>
    <w:p>
      <w:pPr>
        <w:widowControl/>
        <w:jc w:val="left"/>
        <w:rPr>
          <w:rFonts w:ascii="Times New Roman" w:hAnsi="Times New Roman" w:eastAsia="仿宋" w:cs="Times New Roman"/>
          <w:sz w:val="28"/>
          <w:szCs w:val="28"/>
          <w:highlight w:val="none"/>
        </w:rPr>
      </w:pPr>
    </w:p>
    <w:p>
      <w:pPr>
        <w:widowControl/>
        <w:jc w:val="left"/>
        <w:rPr>
          <w:rFonts w:ascii="Times New Roman" w:hAnsi="Times New Roman" w:eastAsia="仿宋" w:cs="Times New Roman"/>
          <w:sz w:val="28"/>
          <w:szCs w:val="28"/>
          <w:highlight w:val="none"/>
        </w:rPr>
        <w:sectPr>
          <w:headerReference r:id="rId3" w:type="default"/>
          <w:pgSz w:w="11906" w:h="16838"/>
          <w:pgMar w:top="2211" w:right="1531" w:bottom="1871" w:left="1531" w:header="851" w:footer="992" w:gutter="0"/>
          <w:cols w:space="425" w:num="1"/>
          <w:docGrid w:type="lines" w:linePitch="312" w:charSpace="0"/>
        </w:sectPr>
      </w:pPr>
    </w:p>
    <w:p>
      <w:pPr>
        <w:spacing w:line="560" w:lineRule="exact"/>
        <w:outlineLvl w:val="1"/>
        <w:rPr>
          <w:rFonts w:ascii="方正小标宋简体" w:hAnsi="方正小标宋简体" w:eastAsia="黑体" w:cs="方正小标宋简体"/>
          <w:bCs/>
          <w:sz w:val="32"/>
          <w:szCs w:val="32"/>
        </w:rPr>
      </w:pPr>
      <w:r>
        <w:rPr>
          <w:rFonts w:hint="eastAsia" w:ascii="黑体" w:hAnsi="黑体" w:eastAsia="黑体" w:cs="黑体"/>
          <w:bCs/>
          <w:sz w:val="32"/>
          <w:szCs w:val="32"/>
        </w:rPr>
        <w:t>附件1</w:t>
      </w:r>
    </w:p>
    <w:p>
      <w:pPr>
        <w:spacing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咸宁市地下水污染防治重点区划定成果图</w:t>
      </w:r>
    </w:p>
    <w:p>
      <w:pPr>
        <w:widowControl/>
        <w:jc w:val="center"/>
        <w:rPr>
          <w:rFonts w:ascii="Times New Roman" w:hAnsi="Times New Roman" w:eastAsia="仿宋" w:cs="Times New Roman"/>
          <w:b/>
          <w:sz w:val="28"/>
          <w:szCs w:val="28"/>
        </w:rPr>
        <w:sectPr>
          <w:headerReference r:id="rId4" w:type="default"/>
          <w:pgSz w:w="16838" w:h="11906" w:orient="landscape"/>
          <w:pgMar w:top="851" w:right="1440" w:bottom="851" w:left="1440" w:header="851" w:footer="992" w:gutter="0"/>
          <w:cols w:space="425" w:num="1"/>
          <w:docGrid w:type="lines" w:linePitch="312" w:charSpace="0"/>
        </w:sectPr>
      </w:pPr>
      <w:r>
        <w:rPr>
          <w:rFonts w:ascii="Times New Roman" w:hAnsi="Times New Roman" w:eastAsia="仿宋" w:cs="Times New Roman"/>
          <w:b/>
          <w:sz w:val="28"/>
          <w:szCs w:val="28"/>
        </w:rPr>
        <w:drawing>
          <wp:inline distT="0" distB="0" distL="0" distR="0">
            <wp:extent cx="7723505" cy="5464810"/>
            <wp:effectExtent l="0" t="0" r="0" b="254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7723865" cy="5465425"/>
                    </a:xfrm>
                    <a:prstGeom prst="rect">
                      <a:avLst/>
                    </a:prstGeom>
                  </pic:spPr>
                </pic:pic>
              </a:graphicData>
            </a:graphic>
          </wp:inline>
        </w:drawing>
      </w:r>
    </w:p>
    <w:p>
      <w:pPr>
        <w:spacing w:line="560" w:lineRule="exact"/>
        <w:outlineLvl w:val="1"/>
        <w:rPr>
          <w:rFonts w:ascii="黑体" w:hAnsi="黑体" w:eastAsia="黑体" w:cs="黑体"/>
          <w:bCs/>
          <w:sz w:val="32"/>
          <w:szCs w:val="32"/>
        </w:rPr>
      </w:pPr>
      <w:r>
        <w:rPr>
          <w:rFonts w:hint="eastAsia" w:ascii="黑体" w:hAnsi="黑体" w:eastAsia="黑体" w:cs="黑体"/>
          <w:bCs/>
          <w:sz w:val="32"/>
          <w:szCs w:val="32"/>
        </w:rPr>
        <w:t>附件2</w:t>
      </w:r>
    </w:p>
    <w:p>
      <w:pPr>
        <w:spacing w:after="156" w:afterLines="50" w:line="560" w:lineRule="exact"/>
        <w:jc w:val="center"/>
        <w:outlineLvl w:val="1"/>
        <w:rPr>
          <w:rFonts w:ascii="Times New Roman" w:hAnsi="Times New Roman" w:eastAsia="仿宋" w:cs="Times New Roman"/>
          <w:b/>
          <w:sz w:val="28"/>
          <w:szCs w:val="28"/>
        </w:rPr>
      </w:pPr>
      <w:r>
        <w:rPr>
          <w:rFonts w:hint="eastAsia" w:ascii="方正小标宋简体" w:hAnsi="方正小标宋简体" w:eastAsia="方正小标宋简体" w:cs="方正小标宋简体"/>
          <w:bCs/>
          <w:sz w:val="32"/>
          <w:szCs w:val="32"/>
        </w:rPr>
        <w:t>咸宁市地下水污染防治重点区划定结果汇总表</w:t>
      </w:r>
    </w:p>
    <w:tbl>
      <w:tblPr>
        <w:tblStyle w:val="8"/>
        <w:tblW w:w="5030" w:type="pct"/>
        <w:jc w:val="center"/>
        <w:tblLayout w:type="autofit"/>
        <w:tblCellMar>
          <w:top w:w="0" w:type="dxa"/>
          <w:left w:w="108" w:type="dxa"/>
          <w:bottom w:w="0" w:type="dxa"/>
          <w:right w:w="108" w:type="dxa"/>
        </w:tblCellMar>
      </w:tblPr>
      <w:tblGrid>
        <w:gridCol w:w="1976"/>
        <w:gridCol w:w="1977"/>
        <w:gridCol w:w="2045"/>
        <w:gridCol w:w="2185"/>
        <w:gridCol w:w="4005"/>
        <w:gridCol w:w="2071"/>
      </w:tblGrid>
      <w:tr>
        <w:tblPrEx>
          <w:tblCellMar>
            <w:top w:w="0" w:type="dxa"/>
            <w:left w:w="108" w:type="dxa"/>
            <w:bottom w:w="0" w:type="dxa"/>
            <w:right w:w="108" w:type="dxa"/>
          </w:tblCellMar>
        </w:tblPrEx>
        <w:trPr>
          <w:trHeight w:val="647" w:hRule="atLeast"/>
          <w:tblHeader/>
          <w:jc w:val="center"/>
        </w:trPr>
        <w:tc>
          <w:tcPr>
            <w:tcW w:w="693" w:type="pct"/>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一级分区</w:t>
            </w:r>
          </w:p>
        </w:tc>
        <w:tc>
          <w:tcPr>
            <w:tcW w:w="693" w:type="pct"/>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二级分区</w:t>
            </w:r>
          </w:p>
        </w:tc>
        <w:tc>
          <w:tcPr>
            <w:tcW w:w="717" w:type="pct"/>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面积（km</w:t>
            </w:r>
            <w:r>
              <w:rPr>
                <w:rFonts w:ascii="Times New Roman" w:hAnsi="Times New Roman" w:cs="Times New Roman"/>
                <w:b/>
                <w:bCs/>
                <w:kern w:val="0"/>
                <w:sz w:val="24"/>
                <w:szCs w:val="24"/>
                <w:vertAlign w:val="superscript"/>
                <w:lang w:bidi="ar"/>
              </w:rPr>
              <w:t>2</w:t>
            </w:r>
            <w:r>
              <w:rPr>
                <w:rFonts w:ascii="Times New Roman" w:hAnsi="Times New Roman" w:cs="Times New Roman"/>
                <w:b/>
                <w:bCs/>
                <w:kern w:val="0"/>
                <w:sz w:val="24"/>
                <w:szCs w:val="24"/>
                <w:lang w:bidi="ar"/>
              </w:rPr>
              <w:t>）</w:t>
            </w:r>
          </w:p>
        </w:tc>
        <w:tc>
          <w:tcPr>
            <w:tcW w:w="766" w:type="pct"/>
            <w:tcBorders>
              <w:top w:val="single" w:color="000000" w:sz="4" w:space="0"/>
              <w:left w:val="single" w:color="000000" w:sz="4" w:space="0"/>
              <w:bottom w:val="single" w:color="000000" w:sz="4" w:space="0"/>
              <w:right w:val="single" w:color="000000" w:sz="4" w:space="0"/>
            </w:tcBorders>
            <w:vAlign w:val="center"/>
          </w:tcPr>
          <w:p>
            <w:pPr>
              <w:widowControl/>
              <w:autoSpaceDN w:val="0"/>
              <w:snapToGrid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占行政区比例（%）</w:t>
            </w:r>
          </w:p>
        </w:tc>
        <w:tc>
          <w:tcPr>
            <w:tcW w:w="1404" w:type="pct"/>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四至范围</w:t>
            </w:r>
          </w:p>
        </w:tc>
        <w:tc>
          <w:tcPr>
            <w:tcW w:w="726" w:type="pct"/>
            <w:tcBorders>
              <w:top w:val="single" w:color="000000" w:sz="4" w:space="0"/>
              <w:left w:val="single" w:color="000000" w:sz="4" w:space="0"/>
              <w:bottom w:val="single" w:color="000000" w:sz="4" w:space="0"/>
              <w:right w:val="single" w:color="000000" w:sz="4" w:space="0"/>
            </w:tcBorders>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划定依据</w:t>
            </w:r>
          </w:p>
        </w:tc>
      </w:tr>
      <w:tr>
        <w:tblPrEx>
          <w:tblCellMar>
            <w:top w:w="0" w:type="dxa"/>
            <w:left w:w="108" w:type="dxa"/>
            <w:bottom w:w="0" w:type="dxa"/>
            <w:right w:w="108" w:type="dxa"/>
          </w:tblCellMar>
        </w:tblPrEx>
        <w:trPr>
          <w:trHeight w:val="850" w:hRule="atLeast"/>
          <w:jc w:val="center"/>
        </w:trPr>
        <w:tc>
          <w:tcPr>
            <w:tcW w:w="69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咸宁市</w:t>
            </w:r>
          </w:p>
        </w:tc>
        <w:tc>
          <w:tcPr>
            <w:tcW w:w="693" w:type="pct"/>
            <w:tcBorders>
              <w:top w:val="single" w:color="000000" w:sz="4" w:space="0"/>
              <w:left w:val="single" w:color="000000" w:sz="4" w:space="0"/>
              <w:bottom w:val="single" w:color="auto"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合计</w:t>
            </w:r>
          </w:p>
        </w:tc>
        <w:tc>
          <w:tcPr>
            <w:tcW w:w="717"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787.4</w:t>
            </w:r>
          </w:p>
        </w:tc>
        <w:tc>
          <w:tcPr>
            <w:tcW w:w="7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8.08</w:t>
            </w:r>
          </w:p>
        </w:tc>
        <w:tc>
          <w:tcPr>
            <w:tcW w:w="140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X：113.551343~114.880848</w:t>
            </w:r>
          </w:p>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Y：29.204708~30.296318</w:t>
            </w:r>
          </w:p>
        </w:tc>
        <w:tc>
          <w:tcPr>
            <w:tcW w:w="726"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r>
        <w:tblPrEx>
          <w:tblCellMar>
            <w:top w:w="0" w:type="dxa"/>
            <w:left w:w="108" w:type="dxa"/>
            <w:bottom w:w="0" w:type="dxa"/>
            <w:right w:w="108" w:type="dxa"/>
          </w:tblCellMar>
        </w:tblPrEx>
        <w:trPr>
          <w:trHeight w:val="850" w:hRule="atLeast"/>
          <w:jc w:val="center"/>
        </w:trPr>
        <w:tc>
          <w:tcPr>
            <w:tcW w:w="693" w:type="pct"/>
            <w:tcBorders>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保护类区域</w:t>
            </w:r>
          </w:p>
        </w:tc>
        <w:tc>
          <w:tcPr>
            <w:tcW w:w="693" w:type="pct"/>
            <w:tcBorders>
              <w:top w:val="single" w:color="auto"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小计</w:t>
            </w:r>
          </w:p>
        </w:tc>
        <w:tc>
          <w:tcPr>
            <w:tcW w:w="717"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w:t>
            </w:r>
          </w:p>
        </w:tc>
        <w:tc>
          <w:tcPr>
            <w:tcW w:w="7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w:t>
            </w:r>
          </w:p>
        </w:tc>
        <w:tc>
          <w:tcPr>
            <w:tcW w:w="140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w:t>
            </w:r>
          </w:p>
        </w:tc>
        <w:tc>
          <w:tcPr>
            <w:tcW w:w="726"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r>
        <w:tblPrEx>
          <w:tblCellMar>
            <w:top w:w="0" w:type="dxa"/>
            <w:left w:w="108" w:type="dxa"/>
            <w:bottom w:w="0" w:type="dxa"/>
            <w:right w:w="108" w:type="dxa"/>
          </w:tblCellMar>
        </w:tblPrEx>
        <w:trPr>
          <w:trHeight w:val="1137" w:hRule="atLeast"/>
          <w:jc w:val="center"/>
        </w:trPr>
        <w:tc>
          <w:tcPr>
            <w:tcW w:w="693" w:type="pct"/>
            <w:vMerge w:val="restart"/>
            <w:tcBorders>
              <w:top w:val="single" w:color="000000" w:sz="4" w:space="0"/>
              <w:left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管控类区域</w:t>
            </w:r>
          </w:p>
        </w:tc>
        <w:tc>
          <w:tcPr>
            <w:tcW w:w="69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一级管控区</w:t>
            </w:r>
          </w:p>
        </w:tc>
        <w:tc>
          <w:tcPr>
            <w:tcW w:w="717"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4.69</w:t>
            </w:r>
          </w:p>
        </w:tc>
        <w:tc>
          <w:tcPr>
            <w:tcW w:w="7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0.048</w:t>
            </w:r>
          </w:p>
        </w:tc>
        <w:tc>
          <w:tcPr>
            <w:tcW w:w="140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X：113.823698~114.475233</w:t>
            </w:r>
          </w:p>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Y：29.286577~29.735272</w:t>
            </w:r>
          </w:p>
        </w:tc>
        <w:tc>
          <w:tcPr>
            <w:tcW w:w="726" w:type="pct"/>
            <w:tcBorders>
              <w:top w:val="single" w:color="000000" w:sz="4" w:space="0"/>
              <w:left w:val="single" w:color="000000" w:sz="4" w:space="0"/>
              <w:bottom w:val="single" w:color="000000" w:sz="4" w:space="0"/>
              <w:right w:val="single" w:color="000000" w:sz="4" w:space="0"/>
            </w:tcBorders>
            <w:vAlign w:val="center"/>
          </w:tcPr>
          <w:p>
            <w:pPr>
              <w:widowControl/>
              <w:snapToGrid w:val="0"/>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地下水功能价值高、脆弱性高且综合污染源荷载高的区域</w:t>
            </w:r>
          </w:p>
        </w:tc>
      </w:tr>
      <w:tr>
        <w:tblPrEx>
          <w:tblCellMar>
            <w:top w:w="0" w:type="dxa"/>
            <w:left w:w="108" w:type="dxa"/>
            <w:bottom w:w="0" w:type="dxa"/>
            <w:right w:w="108" w:type="dxa"/>
          </w:tblCellMar>
        </w:tblPrEx>
        <w:trPr>
          <w:trHeight w:val="850" w:hRule="atLeast"/>
          <w:jc w:val="center"/>
        </w:trPr>
        <w:tc>
          <w:tcPr>
            <w:tcW w:w="693" w:type="pct"/>
            <w:vMerge w:val="continue"/>
            <w:tcBorders>
              <w:left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p>
        </w:tc>
        <w:tc>
          <w:tcPr>
            <w:tcW w:w="69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二级管控区</w:t>
            </w:r>
          </w:p>
        </w:tc>
        <w:tc>
          <w:tcPr>
            <w:tcW w:w="717"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782.7</w:t>
            </w:r>
          </w:p>
        </w:tc>
        <w:tc>
          <w:tcPr>
            <w:tcW w:w="7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8.03</w:t>
            </w:r>
          </w:p>
        </w:tc>
        <w:tc>
          <w:tcPr>
            <w:tcW w:w="140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X：113.551343~114.880848Y：29.204708~30.296318</w:t>
            </w:r>
          </w:p>
        </w:tc>
        <w:tc>
          <w:tcPr>
            <w:tcW w:w="726" w:type="pct"/>
            <w:tcBorders>
              <w:top w:val="single" w:color="000000" w:sz="4" w:space="0"/>
              <w:left w:val="single" w:color="000000" w:sz="4" w:space="0"/>
              <w:bottom w:val="single" w:color="000000" w:sz="4" w:space="0"/>
              <w:right w:val="single" w:color="000000" w:sz="4" w:space="0"/>
            </w:tcBorders>
            <w:vAlign w:val="center"/>
          </w:tcPr>
          <w:p>
            <w:pPr>
              <w:widowControl/>
              <w:snapToGrid w:val="0"/>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地下水功能价值高、脆弱性高</w:t>
            </w:r>
            <w:r>
              <w:rPr>
                <w:rFonts w:hint="eastAsia" w:ascii="Times New Roman" w:hAnsi="Times New Roman" w:eastAsia="仿宋_GB2312" w:cs="Times New Roman"/>
                <w:kern w:val="0"/>
                <w:sz w:val="24"/>
                <w:szCs w:val="24"/>
                <w:highlight w:val="none"/>
              </w:rPr>
              <w:t>、荷载中等或低的区域</w:t>
            </w:r>
          </w:p>
        </w:tc>
      </w:tr>
      <w:tr>
        <w:tblPrEx>
          <w:tblCellMar>
            <w:top w:w="0" w:type="dxa"/>
            <w:left w:w="108" w:type="dxa"/>
            <w:bottom w:w="0" w:type="dxa"/>
            <w:right w:w="108" w:type="dxa"/>
          </w:tblCellMar>
        </w:tblPrEx>
        <w:trPr>
          <w:trHeight w:val="850" w:hRule="atLeast"/>
          <w:jc w:val="center"/>
        </w:trPr>
        <w:tc>
          <w:tcPr>
            <w:tcW w:w="693" w:type="pct"/>
            <w:vMerge w:val="continue"/>
            <w:tcBorders>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p>
        </w:tc>
        <w:tc>
          <w:tcPr>
            <w:tcW w:w="69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小计</w:t>
            </w:r>
          </w:p>
        </w:tc>
        <w:tc>
          <w:tcPr>
            <w:tcW w:w="717"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787.4</w:t>
            </w:r>
          </w:p>
        </w:tc>
        <w:tc>
          <w:tcPr>
            <w:tcW w:w="766"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8.08</w:t>
            </w:r>
          </w:p>
        </w:tc>
        <w:tc>
          <w:tcPr>
            <w:tcW w:w="140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X：113.551343~114.880848</w:t>
            </w:r>
          </w:p>
          <w:p>
            <w:pPr>
              <w:widowControl/>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Y：29.204708~30.296318</w:t>
            </w:r>
          </w:p>
        </w:tc>
        <w:tc>
          <w:tcPr>
            <w:tcW w:w="726"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bl>
    <w:p>
      <w:pPr>
        <w:spacing w:line="560" w:lineRule="exact"/>
        <w:outlineLvl w:val="1"/>
        <w:rPr>
          <w:rFonts w:ascii="黑体" w:hAnsi="黑体" w:eastAsia="黑体" w:cs="黑体"/>
          <w:bCs/>
          <w:sz w:val="32"/>
          <w:szCs w:val="32"/>
        </w:rPr>
      </w:pPr>
      <w:r>
        <w:rPr>
          <w:rFonts w:ascii="黑体" w:hAnsi="黑体" w:eastAsia="黑体" w:cs="黑体"/>
          <w:bCs/>
          <w:sz w:val="32"/>
          <w:szCs w:val="32"/>
        </w:rPr>
        <w:br w:type="page"/>
      </w:r>
    </w:p>
    <w:p>
      <w:pPr>
        <w:spacing w:line="560" w:lineRule="exact"/>
        <w:outlineLvl w:val="1"/>
        <w:rPr>
          <w:rFonts w:ascii="黑体" w:hAnsi="黑体" w:eastAsia="黑体" w:cs="黑体"/>
          <w:bCs/>
          <w:sz w:val="32"/>
          <w:szCs w:val="32"/>
        </w:rPr>
      </w:pPr>
      <w:r>
        <w:rPr>
          <w:rFonts w:hint="eastAsia" w:ascii="黑体" w:hAnsi="黑体" w:eastAsia="黑体" w:cs="黑体"/>
          <w:bCs/>
          <w:sz w:val="32"/>
          <w:szCs w:val="32"/>
        </w:rPr>
        <w:t>附件</w:t>
      </w:r>
      <w:r>
        <w:rPr>
          <w:rFonts w:ascii="黑体" w:hAnsi="黑体" w:eastAsia="黑体" w:cs="黑体"/>
          <w:bCs/>
          <w:sz w:val="32"/>
          <w:szCs w:val="32"/>
        </w:rPr>
        <w:t>3</w:t>
      </w:r>
    </w:p>
    <w:p>
      <w:pPr>
        <w:spacing w:after="156" w:afterLines="50"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一级管控区内重点地下水污染源清单</w:t>
      </w:r>
    </w:p>
    <w:tbl>
      <w:tblPr>
        <w:tblStyle w:val="8"/>
        <w:tblW w:w="5000" w:type="pct"/>
        <w:jc w:val="center"/>
        <w:tblLayout w:type="autofit"/>
        <w:tblCellMar>
          <w:top w:w="15" w:type="dxa"/>
          <w:left w:w="108" w:type="dxa"/>
          <w:bottom w:w="0" w:type="dxa"/>
          <w:right w:w="108" w:type="dxa"/>
        </w:tblCellMar>
      </w:tblPr>
      <w:tblGrid>
        <w:gridCol w:w="853"/>
        <w:gridCol w:w="1872"/>
        <w:gridCol w:w="5048"/>
        <w:gridCol w:w="3315"/>
        <w:gridCol w:w="3086"/>
      </w:tblGrid>
      <w:tr>
        <w:tblPrEx>
          <w:tblCellMar>
            <w:top w:w="15" w:type="dxa"/>
            <w:left w:w="108" w:type="dxa"/>
            <w:bottom w:w="0" w:type="dxa"/>
            <w:right w:w="108" w:type="dxa"/>
          </w:tblCellMar>
        </w:tblPrEx>
        <w:trPr>
          <w:tblHeade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序号</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县（市、区）</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污染源名称</w:t>
            </w:r>
          </w:p>
        </w:tc>
        <w:tc>
          <w:tcPr>
            <w:tcW w:w="11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行业类别</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重点监管企业类别</w:t>
            </w:r>
          </w:p>
        </w:tc>
      </w:tr>
      <w:tr>
        <w:tblPrEx>
          <w:tblCellMar>
            <w:top w:w="15" w:type="dxa"/>
            <w:left w:w="108" w:type="dxa"/>
            <w:bottom w:w="0" w:type="dxa"/>
            <w:right w:w="108" w:type="dxa"/>
          </w:tblCellMar>
        </w:tblPrEx>
        <w:trP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napToGrid w:val="0"/>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660"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w:t>
            </w:r>
          </w:p>
        </w:tc>
        <w:tc>
          <w:tcPr>
            <w:tcW w:w="1780"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湖北蒲纤纺织科技有限公司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1751|化纤织造加工</w:t>
            </w:r>
          </w:p>
        </w:tc>
        <w:tc>
          <w:tcPr>
            <w:tcW w:w="1088"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环境风险监控</w:t>
            </w:r>
          </w:p>
        </w:tc>
      </w:tr>
      <w:tr>
        <w:tblPrEx>
          <w:tblCellMar>
            <w:top w:w="15" w:type="dxa"/>
            <w:left w:w="108" w:type="dxa"/>
            <w:bottom w:w="0" w:type="dxa"/>
            <w:right w:w="108" w:type="dxa"/>
          </w:tblCellMar>
        </w:tblPrEx>
        <w:trP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napToGrid w:val="0"/>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660"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w:t>
            </w:r>
          </w:p>
        </w:tc>
        <w:tc>
          <w:tcPr>
            <w:tcW w:w="1780"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赤壁市祺乐针纺印染有限公司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1713|棉印染精加工</w:t>
            </w:r>
          </w:p>
        </w:tc>
        <w:tc>
          <w:tcPr>
            <w:tcW w:w="1088"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水环境</w:t>
            </w:r>
            <w:r>
              <w:rPr>
                <w:rFonts w:ascii="Times New Roman" w:hAnsi="Times New Roman" w:eastAsia="仿宋_GB2312" w:cs="Times New Roman"/>
                <w:kern w:val="0"/>
                <w:sz w:val="24"/>
                <w:szCs w:val="24"/>
              </w:rPr>
              <w:t>,土壤污染监管</w:t>
            </w:r>
          </w:p>
        </w:tc>
      </w:tr>
      <w:tr>
        <w:trPr>
          <w:jc w:val="center"/>
        </w:trPr>
        <w:tc>
          <w:tcPr>
            <w:tcW w:w="301"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napToGrid w:val="0"/>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3</w:t>
            </w:r>
          </w:p>
        </w:tc>
        <w:tc>
          <w:tcPr>
            <w:tcW w:w="660"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w:t>
            </w:r>
          </w:p>
        </w:tc>
        <w:tc>
          <w:tcPr>
            <w:tcW w:w="1780"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赤壁祥源特种布有限公司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1713|棉印染精加工</w:t>
            </w:r>
          </w:p>
        </w:tc>
        <w:tc>
          <w:tcPr>
            <w:tcW w:w="1088"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水环境</w:t>
            </w:r>
          </w:p>
        </w:tc>
      </w:tr>
    </w:tbl>
    <w:p>
      <w:pPr>
        <w:spacing w:line="560" w:lineRule="exact"/>
        <w:outlineLvl w:val="1"/>
        <w:rPr>
          <w:rFonts w:ascii="黑体" w:hAnsi="黑体" w:eastAsia="黑体" w:cs="黑体"/>
          <w:bCs/>
          <w:sz w:val="32"/>
          <w:szCs w:val="32"/>
        </w:rPr>
      </w:pPr>
      <w:r>
        <w:rPr>
          <w:rFonts w:ascii="黑体" w:hAnsi="黑体" w:eastAsia="黑体" w:cs="黑体"/>
          <w:bCs/>
          <w:sz w:val="32"/>
          <w:szCs w:val="32"/>
        </w:rPr>
        <w:br w:type="page"/>
      </w:r>
    </w:p>
    <w:p>
      <w:pPr>
        <w:spacing w:line="560" w:lineRule="exact"/>
        <w:outlineLvl w:val="1"/>
        <w:rPr>
          <w:rFonts w:ascii="黑体" w:hAnsi="黑体" w:eastAsia="黑体" w:cs="黑体"/>
          <w:bCs/>
          <w:sz w:val="32"/>
          <w:szCs w:val="32"/>
        </w:rPr>
      </w:pPr>
      <w:r>
        <w:rPr>
          <w:rFonts w:hint="eastAsia" w:ascii="黑体" w:hAnsi="黑体" w:eastAsia="黑体" w:cs="黑体"/>
          <w:bCs/>
          <w:sz w:val="32"/>
          <w:szCs w:val="32"/>
        </w:rPr>
        <w:t>附件</w:t>
      </w:r>
      <w:r>
        <w:rPr>
          <w:rFonts w:ascii="黑体" w:hAnsi="黑体" w:eastAsia="黑体" w:cs="黑体"/>
          <w:bCs/>
          <w:sz w:val="32"/>
          <w:szCs w:val="32"/>
        </w:rPr>
        <w:t>4</w:t>
      </w:r>
    </w:p>
    <w:p>
      <w:pPr>
        <w:spacing w:after="156" w:afterLines="50"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二级管控区内重点地下水污染源清单</w:t>
      </w:r>
    </w:p>
    <w:tbl>
      <w:tblPr>
        <w:tblStyle w:val="8"/>
        <w:tblW w:w="5000" w:type="pct"/>
        <w:jc w:val="center"/>
        <w:tblLayout w:type="autofit"/>
        <w:tblCellMar>
          <w:top w:w="15" w:type="dxa"/>
          <w:left w:w="108" w:type="dxa"/>
          <w:bottom w:w="0" w:type="dxa"/>
          <w:right w:w="108" w:type="dxa"/>
        </w:tblCellMar>
      </w:tblPr>
      <w:tblGrid>
        <w:gridCol w:w="856"/>
        <w:gridCol w:w="1871"/>
        <w:gridCol w:w="5047"/>
        <w:gridCol w:w="3315"/>
        <w:gridCol w:w="3085"/>
      </w:tblGrid>
      <w:tr>
        <w:tblPrEx>
          <w:tblCellMar>
            <w:top w:w="15" w:type="dxa"/>
            <w:left w:w="108" w:type="dxa"/>
            <w:bottom w:w="0" w:type="dxa"/>
            <w:right w:w="108" w:type="dxa"/>
          </w:tblCellMar>
        </w:tblPrEx>
        <w:trPr>
          <w:tblHeade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序号</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县（市、区）</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ascii="Times New Roman" w:hAnsi="Times New Roman" w:cs="Times New Roman"/>
                <w:b/>
                <w:bCs/>
                <w:kern w:val="0"/>
                <w:sz w:val="24"/>
                <w:szCs w:val="24"/>
                <w:lang w:bidi="ar"/>
              </w:rPr>
              <w:t>污染源名称</w:t>
            </w:r>
          </w:p>
        </w:tc>
        <w:tc>
          <w:tcPr>
            <w:tcW w:w="1169"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行业类别</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N w:val="0"/>
              <w:jc w:val="center"/>
              <w:rPr>
                <w:rFonts w:ascii="Times New Roman" w:hAnsi="Times New Roman" w:cs="Times New Roman"/>
                <w:b/>
                <w:bCs/>
                <w:kern w:val="0"/>
                <w:sz w:val="24"/>
                <w:szCs w:val="24"/>
                <w:lang w:bidi="ar"/>
              </w:rPr>
            </w:pPr>
            <w:r>
              <w:rPr>
                <w:rFonts w:hint="eastAsia" w:ascii="Times New Roman" w:hAnsi="Times New Roman" w:cs="Times New Roman"/>
                <w:b/>
                <w:bCs/>
                <w:kern w:val="0"/>
                <w:sz w:val="24"/>
                <w:szCs w:val="24"/>
                <w:lang w:bidi="ar"/>
              </w:rPr>
              <w:t>重点监管企业类别</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嘉鱼县</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湖北和昌新材料科技股份有限公司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2661|化学试剂和助剂制造</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嘉鱼县</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湖北联乐集团嘉鱼县富民酿造有限公司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1511|酒精制造</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p>
        </w:tc>
      </w:tr>
      <w:tr>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嘉鱼县</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湖北金盛兰冶金科技有限公司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3110|炼铁</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大气环境</w:t>
            </w:r>
            <w:r>
              <w:rPr>
                <w:rFonts w:ascii="Times New Roman" w:hAnsi="Times New Roman" w:eastAsia="仿宋_GB2312" w:cs="Times New Roman"/>
                <w:kern w:val="0"/>
                <w:sz w:val="24"/>
                <w:szCs w:val="24"/>
                <w:highlight w:val="none"/>
              </w:rPr>
              <w:t>,土壤污染监管</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嘉鱼县</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稳健医疗（嘉鱼）有限公司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2770|卫生材料及医药用品制造</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高新区</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湖北惠生药业有限公司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2710|化学药品原料药制造</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r>
              <w:rPr>
                <w:rFonts w:ascii="Times New Roman" w:hAnsi="Times New Roman" w:eastAsia="仿宋_GB2312" w:cs="Times New Roman"/>
                <w:kern w:val="0"/>
                <w:sz w:val="24"/>
                <w:szCs w:val="24"/>
                <w:highlight w:val="none"/>
              </w:rPr>
              <w:t>,大气环境,环境风险监控</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6</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嘉鱼县</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嘉鱼县畈湖污水处理有限公司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4620|污水处理及其再生利用</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r>
              <w:rPr>
                <w:rFonts w:ascii="Times New Roman" w:hAnsi="Times New Roman" w:eastAsia="仿宋_GB2312" w:cs="Times New Roman"/>
                <w:kern w:val="0"/>
                <w:sz w:val="24"/>
                <w:szCs w:val="24"/>
                <w:highlight w:val="none"/>
              </w:rPr>
              <w:t>,环境风险监控</w:t>
            </w:r>
          </w:p>
        </w:tc>
      </w:tr>
      <w:tr>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7</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崇阳县</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崇阳天清水务有限公司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4620|污水处理及再生利用</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华新环境工程有限公司赤壁分公司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7820|环境卫生管理</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9</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维达力科技股份有限公司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3990|其他电子设备制造</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r>
              <w:rPr>
                <w:rFonts w:ascii="Times New Roman" w:hAnsi="Times New Roman" w:eastAsia="仿宋_GB2312" w:cs="Times New Roman"/>
                <w:kern w:val="0"/>
                <w:sz w:val="24"/>
                <w:szCs w:val="24"/>
                <w:highlight w:val="none"/>
              </w:rPr>
              <w:t>,环境风险监控</w:t>
            </w:r>
          </w:p>
        </w:tc>
      </w:tr>
      <w:tr>
        <w:tblPrEx>
          <w:tblCellMar>
            <w:top w:w="15" w:type="dxa"/>
            <w:left w:w="108" w:type="dxa"/>
            <w:bottom w:w="0" w:type="dxa"/>
            <w:right w:w="108" w:type="dxa"/>
          </w:tblCellMar>
        </w:tblPrEx>
        <w:trPr>
          <w:jc w:val="center"/>
        </w:trPr>
        <w:tc>
          <w:tcPr>
            <w:tcW w:w="302"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w:t>
            </w:r>
          </w:p>
        </w:tc>
        <w:tc>
          <w:tcPr>
            <w:tcW w:w="66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赤壁市</w:t>
            </w:r>
          </w:p>
        </w:tc>
        <w:tc>
          <w:tcPr>
            <w:tcW w:w="1780"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赤壁创业水务有限公司</w:t>
            </w:r>
          </w:p>
        </w:tc>
        <w:tc>
          <w:tcPr>
            <w:tcW w:w="1169" w:type="pct"/>
            <w:tcBorders>
              <w:top w:val="single" w:color="000000" w:sz="8" w:space="0"/>
              <w:left w:val="single" w:color="000000" w:sz="8" w:space="0"/>
              <w:bottom w:val="single" w:color="000000" w:sz="8" w:space="0"/>
              <w:right w:val="single" w:color="000000" w:sz="8" w:space="0"/>
            </w:tcBorders>
            <w:shd w:val="clear" w:color="auto" w:fill="FFFFFF"/>
          </w:tcPr>
          <w:p>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4620|污水处理及再生利用</w:t>
            </w:r>
          </w:p>
        </w:tc>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Times New Roman" w:hAnsi="Times New Roman" w:eastAsia="仿宋_GB2312" w:cs="Times New Roman"/>
                <w:kern w:val="0"/>
                <w:sz w:val="24"/>
                <w:szCs w:val="24"/>
                <w:highlight w:val="none"/>
              </w:rPr>
            </w:pPr>
            <w:r>
              <w:rPr>
                <w:rFonts w:hint="eastAsia" w:ascii="Times New Roman" w:hAnsi="Times New Roman" w:eastAsia="仿宋_GB2312" w:cs="Times New Roman"/>
                <w:kern w:val="0"/>
                <w:sz w:val="24"/>
                <w:szCs w:val="24"/>
                <w:highlight w:val="none"/>
              </w:rPr>
              <w:t>水环境</w:t>
            </w:r>
          </w:p>
        </w:tc>
      </w:tr>
    </w:tbl>
    <w:p>
      <w:pPr>
        <w:outlineLvl w:val="1"/>
        <w:rPr>
          <w:rFonts w:ascii="Times New Roman" w:hAnsi="Times New Roman" w:eastAsia="仿宋" w:cs="Times New Roman"/>
          <w:b/>
          <w:sz w:val="28"/>
          <w:szCs w:val="28"/>
        </w:rPr>
      </w:pPr>
      <w:r>
        <w:rPr>
          <w:rFonts w:ascii="Times New Roman" w:hAnsi="Times New Roman" w:eastAsia="仿宋" w:cs="Times New Roman"/>
          <w:b/>
          <w:sz w:val="28"/>
          <w:szCs w:val="28"/>
        </w:rPr>
        <w:br w:type="page"/>
      </w:r>
    </w:p>
    <w:p>
      <w:pPr>
        <w:spacing w:line="560" w:lineRule="exact"/>
        <w:outlineLvl w:val="1"/>
        <w:rPr>
          <w:rFonts w:ascii="黑体" w:hAnsi="黑体" w:eastAsia="黑体" w:cs="黑体"/>
          <w:bCs/>
          <w:sz w:val="32"/>
          <w:szCs w:val="32"/>
        </w:rPr>
      </w:pPr>
      <w:r>
        <w:rPr>
          <w:rFonts w:ascii="黑体" w:hAnsi="黑体" w:eastAsia="黑体" w:cs="黑体"/>
          <w:bCs/>
          <w:sz w:val="32"/>
          <w:szCs w:val="32"/>
        </w:rPr>
        <w:t>附件5</w:t>
      </w:r>
    </w:p>
    <w:p>
      <w:pPr>
        <w:spacing w:after="156" w:afterLines="50"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咸宁市地下水质量现状分区图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7586345" cy="5367655"/>
            <wp:effectExtent l="0" t="0" r="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7586403" cy="5368157"/>
                    </a:xfrm>
                    <a:prstGeom prst="rect">
                      <a:avLst/>
                    </a:prstGeom>
                  </pic:spPr>
                </pic:pic>
              </a:graphicData>
            </a:graphic>
          </wp:inline>
        </w:drawing>
      </w:r>
      <w:r>
        <w:rPr>
          <w:rFonts w:ascii="Times New Roman" w:hAnsi="Times New Roman" w:eastAsia="仿宋" w:cs="Times New Roman"/>
          <w:sz w:val="28"/>
          <w:szCs w:val="28"/>
        </w:rPr>
        <w:br w:type="page"/>
      </w:r>
    </w:p>
    <w:p>
      <w:pPr>
        <w:spacing w:line="560" w:lineRule="exact"/>
        <w:outlineLvl w:val="1"/>
        <w:rPr>
          <w:rFonts w:ascii="黑体" w:hAnsi="黑体" w:eastAsia="黑体" w:cs="黑体"/>
          <w:bCs/>
          <w:sz w:val="32"/>
          <w:szCs w:val="32"/>
        </w:rPr>
      </w:pPr>
      <w:r>
        <w:rPr>
          <w:rFonts w:ascii="黑体" w:hAnsi="黑体" w:eastAsia="黑体" w:cs="黑体"/>
          <w:bCs/>
          <w:sz w:val="32"/>
          <w:szCs w:val="32"/>
        </w:rPr>
        <w:t>附件6</w:t>
      </w:r>
    </w:p>
    <w:p>
      <w:pPr>
        <w:spacing w:after="156" w:afterLines="50"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咸宁市地下水富水性分区图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7619365" cy="5391150"/>
            <wp:effectExtent l="0" t="0" r="635"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7619395" cy="5391502"/>
                    </a:xfrm>
                    <a:prstGeom prst="rect">
                      <a:avLst/>
                    </a:prstGeom>
                  </pic:spPr>
                </pic:pic>
              </a:graphicData>
            </a:graphic>
          </wp:inline>
        </w:drawing>
      </w:r>
      <w:r>
        <w:rPr>
          <w:rFonts w:ascii="Times New Roman" w:hAnsi="Times New Roman" w:eastAsia="仿宋" w:cs="Times New Roman"/>
          <w:sz w:val="28"/>
          <w:szCs w:val="28"/>
        </w:rPr>
        <w:br w:type="page"/>
      </w:r>
    </w:p>
    <w:p>
      <w:pPr>
        <w:spacing w:line="560" w:lineRule="exact"/>
        <w:outlineLvl w:val="1"/>
        <w:rPr>
          <w:rFonts w:ascii="黑体" w:hAnsi="黑体" w:eastAsia="黑体" w:cs="黑体"/>
          <w:bCs/>
          <w:sz w:val="32"/>
          <w:szCs w:val="32"/>
        </w:rPr>
      </w:pPr>
      <w:r>
        <w:rPr>
          <w:rFonts w:ascii="黑体" w:hAnsi="黑体" w:eastAsia="黑体" w:cs="黑体"/>
          <w:bCs/>
          <w:sz w:val="32"/>
          <w:szCs w:val="32"/>
        </w:rPr>
        <w:t>附件7</w:t>
      </w:r>
    </w:p>
    <w:p>
      <w:pPr>
        <w:spacing w:after="156" w:afterLines="50" w:line="560" w:lineRule="exact"/>
        <w:jc w:val="center"/>
        <w:outlineLvl w:val="1"/>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咸宁市地下水功能价值分区图</w:t>
      </w:r>
    </w:p>
    <w:p>
      <w:pPr>
        <w:spacing w:line="240" w:lineRule="auto"/>
        <w:jc w:val="center"/>
        <w:outlineLvl w:val="1"/>
        <w:rPr>
          <w:rFonts w:hint="eastAsia" w:ascii="方正小标宋简体" w:hAnsi="方正小标宋简体" w:eastAsia="方正小标宋简体" w:cs="方正小标宋简体"/>
          <w:bCs/>
          <w:sz w:val="32"/>
          <w:szCs w:val="32"/>
        </w:rPr>
      </w:pPr>
      <w:r>
        <w:rPr>
          <w:rFonts w:ascii="Times New Roman" w:hAnsi="Times New Roman" w:eastAsia="仿宋" w:cs="Times New Roman"/>
          <w:sz w:val="28"/>
          <w:szCs w:val="28"/>
        </w:rPr>
        <w:drawing>
          <wp:anchor distT="0" distB="0" distL="0" distR="0" simplePos="0" relativeHeight="251659264" behindDoc="1" locked="0" layoutInCell="1" allowOverlap="1">
            <wp:simplePos x="0" y="0"/>
            <wp:positionH relativeFrom="column">
              <wp:posOffset>650240</wp:posOffset>
            </wp:positionH>
            <wp:positionV relativeFrom="paragraph">
              <wp:posOffset>10795</wp:posOffset>
            </wp:positionV>
            <wp:extent cx="7651115" cy="5414010"/>
            <wp:effectExtent l="0" t="0" r="6985" b="15240"/>
            <wp:wrapNone/>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noChangeArrowheads="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7651566" cy="5414266"/>
                    </a:xfrm>
                    <a:prstGeom prst="rect">
                      <a:avLst/>
                    </a:prstGeom>
                    <a:noFill/>
                    <a:ln>
                      <a:noFill/>
                    </a:ln>
                  </pic:spPr>
                </pic:pic>
              </a:graphicData>
            </a:graphic>
          </wp:anchor>
        </w:drawing>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br w:type="page"/>
      </w:r>
    </w:p>
    <w:p>
      <w:pPr>
        <w:spacing w:line="560" w:lineRule="exact"/>
        <w:outlineLvl w:val="1"/>
        <w:rPr>
          <w:rFonts w:ascii="黑体" w:hAnsi="黑体" w:eastAsia="黑体" w:cs="黑体"/>
          <w:bCs/>
          <w:sz w:val="32"/>
          <w:szCs w:val="32"/>
        </w:rPr>
      </w:pPr>
      <w:r>
        <w:rPr>
          <w:rFonts w:ascii="黑体" w:hAnsi="黑体" w:eastAsia="黑体" w:cs="黑体"/>
          <w:bCs/>
          <w:sz w:val="32"/>
          <w:szCs w:val="32"/>
        </w:rPr>
        <w:t>附件8</w:t>
      </w:r>
    </w:p>
    <w:p>
      <w:pPr>
        <w:spacing w:after="156" w:afterLines="50"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咸宁市地下水脆弱性分区图</w:t>
      </w:r>
    </w:p>
    <w:p>
      <w:pPr>
        <w:jc w:val="center"/>
        <w:rPr>
          <w:rFonts w:ascii="等线" w:hAnsi="等线" w:eastAsia="等线" w:cs="Times New Roman"/>
        </w:rPr>
      </w:pPr>
      <w:r>
        <w:rPr>
          <w:rFonts w:ascii="等线" w:hAnsi="等线" w:eastAsia="等线" w:cs="Times New Roman"/>
        </w:rPr>
        <w:drawing>
          <wp:anchor distT="0" distB="0" distL="0" distR="0" simplePos="0" relativeHeight="251660288" behindDoc="1" locked="0" layoutInCell="1" allowOverlap="1">
            <wp:simplePos x="0" y="0"/>
            <wp:positionH relativeFrom="column">
              <wp:posOffset>535940</wp:posOffset>
            </wp:positionH>
            <wp:positionV relativeFrom="paragraph">
              <wp:posOffset>104775</wp:posOffset>
            </wp:positionV>
            <wp:extent cx="7730490" cy="5469890"/>
            <wp:effectExtent l="0" t="0" r="3810" b="0"/>
            <wp:wrapNone/>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7730751" cy="5470297"/>
                    </a:xfrm>
                    <a:prstGeom prst="rect">
                      <a:avLst/>
                    </a:prstGeom>
                    <a:noFill/>
                    <a:ln>
                      <a:noFill/>
                    </a:ln>
                  </pic:spPr>
                </pic:pic>
              </a:graphicData>
            </a:graphic>
          </wp:anchor>
        </w:drawing>
      </w:r>
      <w:r>
        <w:rPr>
          <w:rFonts w:ascii="等线" w:hAnsi="等线" w:eastAsia="等线" w:cs="Times New Roman"/>
        </w:rPr>
        <w:br w:type="page"/>
      </w:r>
    </w:p>
    <w:p>
      <w:pPr>
        <w:spacing w:line="560" w:lineRule="exact"/>
        <w:outlineLvl w:val="1"/>
        <w:rPr>
          <w:rFonts w:ascii="黑体" w:hAnsi="黑体" w:eastAsia="黑体" w:cs="黑体"/>
          <w:bCs/>
          <w:sz w:val="32"/>
          <w:szCs w:val="32"/>
        </w:rPr>
      </w:pPr>
      <w:r>
        <w:rPr>
          <w:rFonts w:ascii="黑体" w:hAnsi="黑体" w:eastAsia="黑体" w:cs="黑体"/>
          <w:bCs/>
          <w:sz w:val="32"/>
          <w:szCs w:val="32"/>
        </w:rPr>
        <w:t>附件9</w:t>
      </w:r>
    </w:p>
    <w:p>
      <w:pPr>
        <w:spacing w:after="156" w:afterLines="50" w:line="560" w:lineRule="exact"/>
        <w:jc w:val="center"/>
        <w:outlineLvl w:val="1"/>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咸宁市地下水综合污染源荷载分区图</w:t>
      </w:r>
    </w:p>
    <w:p>
      <w:pPr>
        <w:jc w:val="center"/>
        <w:outlineLvl w:val="1"/>
      </w:pPr>
      <w:r>
        <w:drawing>
          <wp:inline distT="0" distB="0" distL="0" distR="0">
            <wp:extent cx="7629525" cy="539369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7629599" cy="5394014"/>
                    </a:xfrm>
                    <a:prstGeom prst="rect">
                      <a:avLst/>
                    </a:prstGeom>
                  </pic:spPr>
                </pic:pic>
              </a:graphicData>
            </a:graphic>
          </wp:inline>
        </w:drawing>
      </w:r>
    </w:p>
    <w:sectPr>
      <w:pgSz w:w="16838" w:h="11906" w:orient="landscape"/>
      <w:pgMar w:top="851" w:right="1440" w:bottom="851"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714"/>
    <w:rsid w:val="0000076A"/>
    <w:rsid w:val="000039FA"/>
    <w:rsid w:val="00007EF7"/>
    <w:rsid w:val="00010CDE"/>
    <w:rsid w:val="00043FCF"/>
    <w:rsid w:val="00072EFC"/>
    <w:rsid w:val="00074895"/>
    <w:rsid w:val="00083272"/>
    <w:rsid w:val="000A0E91"/>
    <w:rsid w:val="00125FFB"/>
    <w:rsid w:val="001A087A"/>
    <w:rsid w:val="001C45BD"/>
    <w:rsid w:val="001F0001"/>
    <w:rsid w:val="001F1A3E"/>
    <w:rsid w:val="0028250F"/>
    <w:rsid w:val="002870D3"/>
    <w:rsid w:val="002C5207"/>
    <w:rsid w:val="00303817"/>
    <w:rsid w:val="0039329B"/>
    <w:rsid w:val="003A6841"/>
    <w:rsid w:val="00403A6E"/>
    <w:rsid w:val="00414CF3"/>
    <w:rsid w:val="004707D3"/>
    <w:rsid w:val="0047706B"/>
    <w:rsid w:val="004F684D"/>
    <w:rsid w:val="00537CBA"/>
    <w:rsid w:val="0054284F"/>
    <w:rsid w:val="005453BA"/>
    <w:rsid w:val="00554AA6"/>
    <w:rsid w:val="00555C88"/>
    <w:rsid w:val="005760E0"/>
    <w:rsid w:val="005D40E9"/>
    <w:rsid w:val="005F521D"/>
    <w:rsid w:val="00607037"/>
    <w:rsid w:val="0061219E"/>
    <w:rsid w:val="00652D31"/>
    <w:rsid w:val="006A2889"/>
    <w:rsid w:val="006A6A07"/>
    <w:rsid w:val="006C042D"/>
    <w:rsid w:val="006C11D7"/>
    <w:rsid w:val="006C4C0F"/>
    <w:rsid w:val="006C66EA"/>
    <w:rsid w:val="006E33AE"/>
    <w:rsid w:val="00712A7F"/>
    <w:rsid w:val="00745EB6"/>
    <w:rsid w:val="00746860"/>
    <w:rsid w:val="007C0796"/>
    <w:rsid w:val="0080169F"/>
    <w:rsid w:val="00844DC4"/>
    <w:rsid w:val="00884BA1"/>
    <w:rsid w:val="00914931"/>
    <w:rsid w:val="00950E3D"/>
    <w:rsid w:val="00951E22"/>
    <w:rsid w:val="00974005"/>
    <w:rsid w:val="009876DD"/>
    <w:rsid w:val="00997097"/>
    <w:rsid w:val="009C243A"/>
    <w:rsid w:val="009D2311"/>
    <w:rsid w:val="009E1A47"/>
    <w:rsid w:val="00A227C2"/>
    <w:rsid w:val="00A53921"/>
    <w:rsid w:val="00A60714"/>
    <w:rsid w:val="00A83C8B"/>
    <w:rsid w:val="00AB2F58"/>
    <w:rsid w:val="00AF5A88"/>
    <w:rsid w:val="00B1562E"/>
    <w:rsid w:val="00B42BA8"/>
    <w:rsid w:val="00B457F3"/>
    <w:rsid w:val="00B53F9A"/>
    <w:rsid w:val="00B62DCD"/>
    <w:rsid w:val="00B739F3"/>
    <w:rsid w:val="00B760C4"/>
    <w:rsid w:val="00B90A96"/>
    <w:rsid w:val="00BB3DE8"/>
    <w:rsid w:val="00BC1A89"/>
    <w:rsid w:val="00C02A4F"/>
    <w:rsid w:val="00C70298"/>
    <w:rsid w:val="00C96313"/>
    <w:rsid w:val="00CC0CB0"/>
    <w:rsid w:val="00CC71C7"/>
    <w:rsid w:val="00CE42D5"/>
    <w:rsid w:val="00D03365"/>
    <w:rsid w:val="00D15E9A"/>
    <w:rsid w:val="00D2126E"/>
    <w:rsid w:val="00D23928"/>
    <w:rsid w:val="00D2693F"/>
    <w:rsid w:val="00D26A6B"/>
    <w:rsid w:val="00D51820"/>
    <w:rsid w:val="00D62EED"/>
    <w:rsid w:val="00D74EB9"/>
    <w:rsid w:val="00D81F8B"/>
    <w:rsid w:val="00D82076"/>
    <w:rsid w:val="00D8500C"/>
    <w:rsid w:val="00D86B41"/>
    <w:rsid w:val="00DC4F2A"/>
    <w:rsid w:val="00E63C15"/>
    <w:rsid w:val="00E8441D"/>
    <w:rsid w:val="00E87EB9"/>
    <w:rsid w:val="00E96249"/>
    <w:rsid w:val="00EC1EFC"/>
    <w:rsid w:val="00EF493D"/>
    <w:rsid w:val="00F105B5"/>
    <w:rsid w:val="00F15E3C"/>
    <w:rsid w:val="00F21A77"/>
    <w:rsid w:val="00F34076"/>
    <w:rsid w:val="00F85E9E"/>
    <w:rsid w:val="00F87588"/>
    <w:rsid w:val="00FC3ED1"/>
    <w:rsid w:val="1392564A"/>
    <w:rsid w:val="1D271DC8"/>
    <w:rsid w:val="21815F4B"/>
    <w:rsid w:val="2455546D"/>
    <w:rsid w:val="28AB7D51"/>
    <w:rsid w:val="2B4029D3"/>
    <w:rsid w:val="33BF19E0"/>
    <w:rsid w:val="3765DB73"/>
    <w:rsid w:val="3D8E5820"/>
    <w:rsid w:val="4627386B"/>
    <w:rsid w:val="48522689"/>
    <w:rsid w:val="75864A53"/>
    <w:rsid w:val="7C947665"/>
    <w:rsid w:val="7F430365"/>
    <w:rsid w:val="D75748A3"/>
    <w:rsid w:val="EDC6D84F"/>
    <w:rsid w:val="FDFD8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index 6"/>
    <w:basedOn w:val="1"/>
    <w:next w:val="1"/>
    <w:qFormat/>
    <w:uiPriority w:val="0"/>
    <w:pPr>
      <w:ind w:left="2100"/>
    </w:pPr>
  </w:style>
  <w:style w:type="paragraph" w:styleId="4">
    <w:name w:val="Body Text"/>
    <w:basedOn w:val="1"/>
    <w:link w:val="15"/>
    <w:semiHidden/>
    <w:unhideWhenUsed/>
    <w:qFormat/>
    <w:uiPriority w:val="99"/>
    <w:pPr>
      <w:spacing w:after="120"/>
    </w:pPr>
  </w:style>
  <w:style w:type="paragraph" w:styleId="5">
    <w:name w:val="Balloon Text"/>
    <w:basedOn w:val="1"/>
    <w:link w:val="17"/>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semiHidden/>
    <w:unhideWhenUsed/>
    <w:qFormat/>
    <w:uiPriority w:val="99"/>
    <w:rPr>
      <w:color w:val="0000FF"/>
      <w:u w:val="single"/>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7"/>
    <w:qFormat/>
    <w:uiPriority w:val="99"/>
    <w:rPr>
      <w:sz w:val="18"/>
      <w:szCs w:val="18"/>
    </w:rPr>
  </w:style>
  <w:style w:type="character" w:customStyle="1" w:styleId="13">
    <w:name w:val="页脚 字符"/>
    <w:basedOn w:val="9"/>
    <w:link w:val="6"/>
    <w:qFormat/>
    <w:uiPriority w:val="99"/>
    <w:rPr>
      <w:sz w:val="18"/>
      <w:szCs w:val="18"/>
    </w:rPr>
  </w:style>
  <w:style w:type="paragraph" w:customStyle="1" w:styleId="14">
    <w:name w:val="表内文字"/>
    <w:basedOn w:val="1"/>
    <w:next w:val="1"/>
    <w:qFormat/>
    <w:uiPriority w:val="0"/>
    <w:pPr>
      <w:autoSpaceDE w:val="0"/>
      <w:autoSpaceDN w:val="0"/>
      <w:spacing w:before="68" w:line="221" w:lineRule="auto"/>
      <w:jc w:val="center"/>
    </w:pPr>
    <w:rPr>
      <w:rFonts w:ascii="Times New Roman" w:hAnsi="Times New Roman" w:eastAsia="仿宋" w:cs="Times New Roman"/>
      <w:snapToGrid w:val="0"/>
      <w:spacing w:val="-2"/>
      <w:kern w:val="0"/>
      <w:szCs w:val="21"/>
      <w:lang w:eastAsia="en-US"/>
    </w:rPr>
  </w:style>
  <w:style w:type="character" w:customStyle="1" w:styleId="15">
    <w:name w:val="正文文本 字符"/>
    <w:basedOn w:val="9"/>
    <w:link w:val="4"/>
    <w:semiHidden/>
    <w:qFormat/>
    <w:uiPriority w:val="99"/>
    <w:rPr>
      <w:kern w:val="2"/>
      <w:sz w:val="21"/>
      <w:szCs w:val="22"/>
    </w:rPr>
  </w:style>
  <w:style w:type="character" w:customStyle="1" w:styleId="16">
    <w:name w:val="批注文字 字符"/>
    <w:basedOn w:val="9"/>
    <w:link w:val="2"/>
    <w:semiHidden/>
    <w:qFormat/>
    <w:uiPriority w:val="99"/>
    <w:rPr>
      <w:kern w:val="2"/>
      <w:sz w:val="21"/>
      <w:szCs w:val="22"/>
    </w:rPr>
  </w:style>
  <w:style w:type="character" w:customStyle="1" w:styleId="17">
    <w:name w:val="批注框文本 字符"/>
    <w:basedOn w:val="9"/>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3998</Words>
  <Characters>4145</Characters>
  <Lines>36</Lines>
  <Paragraphs>10</Paragraphs>
  <TotalTime>85</TotalTime>
  <ScaleCrop>false</ScaleCrop>
  <LinksUpToDate>false</LinksUpToDate>
  <CharactersWithSpaces>4165</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2024-12-18T23:26:00Z</dcterms:created>
  <dc:creator>Administrator</dc:creator>
  <cp:lastModifiedBy>user</cp:lastModifiedBy>
  <cp:lastPrinted>2024-12-23T16:36:22Z</cp:lastPrinted>
  <dcterms:modified xsi:type="dcterms:W3CDTF">2024-12-23T16:40:14Z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FDE64573A29B132942F90467ADE10D6C</vt:lpwstr>
  </property>
</Properties>
</file>