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5F33F5">
      <w:pPr>
        <w:keepNext w:val="0"/>
        <w:keepLines w:val="0"/>
        <w:widowControl w:val="0"/>
        <w:suppressLineNumbers w:val="0"/>
        <w:spacing w:before="0" w:beforeAutospacing="0" w:after="0" w:afterAutospacing="0" w:line="500" w:lineRule="exact"/>
        <w:ind w:left="0" w:right="0" w:firstLine="0" w:firstLineChars="0"/>
        <w:jc w:val="both"/>
        <w:rPr>
          <w:rFonts w:hint="eastAsia" w:ascii="Arial Unicode MS" w:hAnsi="Arial Unicode MS" w:eastAsia="Arial Unicode MS" w:cs="Arial Unicode MS"/>
          <w:color w:val="000000"/>
          <w:kern w:val="2"/>
          <w:sz w:val="44"/>
          <w:szCs w:val="44"/>
        </w:rPr>
      </w:pPr>
      <w:r>
        <w:rPr>
          <w:rFonts w:hint="eastAsia" w:ascii="Arial Unicode MS" w:hAnsi="Arial Unicode MS" w:eastAsia="Arial Unicode MS" w:cs="Arial Unicode MS"/>
          <w:color w:val="000000"/>
          <w:kern w:val="2"/>
          <w:sz w:val="44"/>
          <w:szCs w:val="44"/>
          <w:lang w:val="en-US" w:eastAsia="zh-CN" w:bidi="ar"/>
        </w:rPr>
        <w:t xml:space="preserve"> </w:t>
      </w:r>
    </w:p>
    <w:p w14:paraId="5B99EEA6">
      <w:pPr>
        <w:pStyle w:val="11"/>
        <w:keepNext w:val="0"/>
        <w:keepLines w:val="0"/>
        <w:widowControl w:val="0"/>
        <w:suppressLineNumbers w:val="0"/>
        <w:autoSpaceDE w:val="0"/>
        <w:autoSpaceDN/>
        <w:spacing w:line="560" w:lineRule="exact"/>
        <w:ind w:left="0" w:leftChars="0" w:firstLine="0" w:firstLineChars="0"/>
        <w:jc w:val="center"/>
        <w:rPr>
          <w:rFonts w:hint="eastAsia" w:ascii="方正小标宋_GBK" w:hAnsi="方正小标宋_GBK" w:eastAsia="方正小标宋_GBK" w:cs="方正小标宋_GBK"/>
          <w:color w:val="000000"/>
          <w:kern w:val="2"/>
          <w:sz w:val="44"/>
          <w:szCs w:val="44"/>
        </w:rPr>
      </w:pPr>
      <w:r>
        <w:rPr>
          <w:rFonts w:hint="eastAsia" w:ascii="方正小标宋_GBK" w:hAnsi="方正小标宋_GBK" w:eastAsia="方正小标宋_GBK" w:cs="方正小标宋_GBK"/>
          <w:color w:val="000000"/>
          <w:kern w:val="2"/>
          <w:sz w:val="44"/>
          <w:szCs w:val="44"/>
        </w:rPr>
        <w:t>关于调整咸宁市中心城区高排放非道路</w:t>
      </w:r>
    </w:p>
    <w:p w14:paraId="0618D304">
      <w:pPr>
        <w:pStyle w:val="11"/>
        <w:keepNext w:val="0"/>
        <w:keepLines w:val="0"/>
        <w:widowControl w:val="0"/>
        <w:suppressLineNumbers w:val="0"/>
        <w:autoSpaceDE w:val="0"/>
        <w:autoSpaceDN/>
        <w:spacing w:line="560" w:lineRule="exact"/>
        <w:ind w:left="0" w:leftChars="0" w:firstLine="0" w:firstLineChars="0"/>
        <w:jc w:val="center"/>
        <w:rPr>
          <w:rFonts w:hint="eastAsia" w:ascii="方正小标宋_GBK" w:hAnsi="方正小标宋_GBK" w:eastAsia="方正小标宋_GBK" w:cs="方正小标宋_GBK"/>
          <w:color w:val="000000"/>
          <w:kern w:val="2"/>
          <w:sz w:val="44"/>
          <w:szCs w:val="44"/>
        </w:rPr>
      </w:pPr>
      <w:r>
        <w:rPr>
          <w:rFonts w:hint="eastAsia" w:ascii="方正小标宋_GBK" w:hAnsi="方正小标宋_GBK" w:eastAsia="方正小标宋_GBK" w:cs="方正小标宋_GBK"/>
          <w:color w:val="000000"/>
          <w:kern w:val="2"/>
          <w:sz w:val="44"/>
          <w:szCs w:val="44"/>
        </w:rPr>
        <w:t>移动机械禁止使用区域的通告</w:t>
      </w:r>
    </w:p>
    <w:p w14:paraId="5D25277F">
      <w:pPr>
        <w:keepNext w:val="0"/>
        <w:keepLines w:val="0"/>
        <w:widowControl w:val="0"/>
        <w:suppressLineNumbers w:val="0"/>
        <w:autoSpaceDE w:val="0"/>
        <w:autoSpaceDN/>
        <w:spacing w:before="0" w:beforeAutospacing="0" w:after="0" w:afterAutospacing="0" w:line="560" w:lineRule="exact"/>
        <w:ind w:left="0" w:leftChars="0" w:right="0" w:firstLine="0" w:firstLineChars="0"/>
        <w:jc w:val="center"/>
        <w:rPr>
          <w:rFonts w:hint="default" w:ascii="Arial Unicode MS" w:hAnsi="Calibri" w:eastAsia="Arial Unicode MS" w:cs="Times New Roman"/>
          <w:color w:val="000000"/>
          <w:kern w:val="2"/>
          <w:sz w:val="44"/>
          <w:szCs w:val="44"/>
          <w:lang w:val="en-US"/>
        </w:rPr>
      </w:pPr>
      <w:r>
        <w:rPr>
          <w:rFonts w:hint="eastAsia" w:ascii="楷体" w:hAnsi="楷体" w:eastAsia="楷体" w:cs="楷体"/>
          <w:color w:val="000000"/>
          <w:kern w:val="2"/>
          <w:sz w:val="32"/>
          <w:szCs w:val="32"/>
          <w:lang w:val="en-US" w:eastAsia="zh-CN" w:bidi="ar"/>
        </w:rPr>
        <w:t>（征求意见稿）</w:t>
      </w:r>
    </w:p>
    <w:p w14:paraId="089F5413">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default" w:ascii="仿宋_GB2312" w:hAnsi="Calibri" w:eastAsia="仿宋_GB2312" w:cs="仿宋_GB2312"/>
          <w:kern w:val="2"/>
          <w:sz w:val="32"/>
          <w:szCs w:val="32"/>
          <w:lang w:val="en-US" w:eastAsia="zh-CN" w:bidi="ar"/>
        </w:rPr>
      </w:pPr>
    </w:p>
    <w:p w14:paraId="41BD11DA">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default" w:ascii="仿宋_GB2312" w:eastAsia="仿宋_GB2312" w:cs="仿宋_GB2312"/>
          <w:kern w:val="2"/>
          <w:sz w:val="32"/>
          <w:szCs w:val="32"/>
        </w:rPr>
      </w:pPr>
      <w:r>
        <w:rPr>
          <w:rFonts w:hint="default" w:ascii="仿宋_GB2312" w:hAnsi="Calibri" w:eastAsia="仿宋_GB2312" w:cs="仿宋_GB2312"/>
          <w:kern w:val="2"/>
          <w:sz w:val="32"/>
          <w:szCs w:val="32"/>
          <w:lang w:val="en-US" w:eastAsia="zh-CN" w:bidi="ar"/>
        </w:rPr>
        <w:t>为进一步减少非道路移动机械污染物排放，持续改善咸宁市环境空气质量，根据《中华人民共和国大气污染防治法》《湖北省大气污染防治条例》等有关规定，结合20</w:t>
      </w:r>
      <w:r>
        <w:rPr>
          <w:rFonts w:hint="eastAsia" w:ascii="仿宋_GB2312" w:eastAsia="仿宋_GB2312" w:cs="仿宋_GB2312"/>
          <w:kern w:val="2"/>
          <w:sz w:val="32"/>
          <w:szCs w:val="32"/>
          <w:lang w:val="en-US" w:eastAsia="zh-CN" w:bidi="ar"/>
        </w:rPr>
        <w:t>20</w:t>
      </w:r>
      <w:r>
        <w:rPr>
          <w:rFonts w:hint="default" w:ascii="仿宋_GB2312" w:hAnsi="Calibri" w:eastAsia="仿宋_GB2312" w:cs="仿宋_GB2312"/>
          <w:kern w:val="2"/>
          <w:sz w:val="32"/>
          <w:szCs w:val="32"/>
          <w:lang w:val="en-US" w:eastAsia="zh-CN" w:bidi="ar"/>
        </w:rPr>
        <w:t>年《关于划定咸宁市中心城区高排放非道路移动机械禁止使用区域的通告》及我市实际情况，现就调整咸宁市中心城区高排放非道路移动机械禁止使用区域（以下简称禁用区）有关事项通告如下：</w:t>
      </w:r>
    </w:p>
    <w:p w14:paraId="0625B325">
      <w:pPr>
        <w:pStyle w:val="3"/>
        <w:keepNext w:val="0"/>
        <w:keepLines w:val="0"/>
        <w:widowControl w:val="0"/>
        <w:numPr>
          <w:ilvl w:val="0"/>
          <w:numId w:val="1"/>
        </w:numPr>
        <w:suppressLineNumbers w:val="0"/>
        <w:autoSpaceDE w:val="0"/>
        <w:autoSpaceDN/>
        <w:spacing w:line="560" w:lineRule="exact"/>
        <w:rPr>
          <w:rFonts w:hint="default" w:ascii="黑体" w:hAnsi="宋体" w:eastAsia="黑体" w:cs="黑体"/>
          <w:b w:val="0"/>
          <w:bCs/>
          <w:kern w:val="44"/>
          <w:sz w:val="32"/>
          <w:szCs w:val="32"/>
        </w:rPr>
      </w:pPr>
      <w:r>
        <w:rPr>
          <w:rFonts w:hint="default" w:ascii="黑体" w:hAnsi="宋体" w:eastAsia="黑体" w:cs="黑体"/>
          <w:b w:val="0"/>
          <w:bCs/>
          <w:kern w:val="44"/>
          <w:sz w:val="32"/>
          <w:szCs w:val="32"/>
        </w:rPr>
        <w:t>禁用区划定范围</w:t>
      </w:r>
    </w:p>
    <w:p w14:paraId="2542BF91">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default" w:ascii="仿宋_GB2312" w:eastAsia="仿宋_GB2312" w:cs="仿宋_GB2312"/>
          <w:kern w:val="2"/>
          <w:sz w:val="32"/>
          <w:szCs w:val="32"/>
        </w:rPr>
      </w:pPr>
      <w:r>
        <w:rPr>
          <w:rFonts w:hint="default" w:ascii="仿宋_GB2312" w:hAnsi="Calibri" w:eastAsia="仿宋_GB2312" w:cs="仿宋_GB2312"/>
          <w:kern w:val="2"/>
          <w:sz w:val="32"/>
          <w:szCs w:val="32"/>
          <w:lang w:val="en-US" w:eastAsia="zh-CN" w:bidi="ar"/>
        </w:rPr>
        <w:t>禁用区分一般禁用区和核心禁用区，核心禁用区位于一般禁用区区域内，但不同于一般禁用区。</w:t>
      </w:r>
    </w:p>
    <w:p w14:paraId="0EDECA4F">
      <w:pPr>
        <w:pStyle w:val="4"/>
        <w:keepNext w:val="0"/>
        <w:keepLines w:val="0"/>
        <w:widowControl w:val="0"/>
        <w:numPr>
          <w:ilvl w:val="0"/>
          <w:numId w:val="2"/>
        </w:numPr>
        <w:suppressLineNumbers w:val="0"/>
        <w:autoSpaceDE w:val="0"/>
        <w:autoSpaceDN/>
        <w:spacing w:line="560" w:lineRule="exact"/>
        <w:rPr>
          <w:rFonts w:hint="default" w:ascii="楷体-GB2312" w:hAnsi="楷体-GB2312" w:eastAsia="楷体-GB2312" w:cs="楷体-GB2312"/>
          <w:b/>
          <w:bCs w:val="0"/>
          <w:kern w:val="2"/>
          <w:sz w:val="32"/>
          <w:szCs w:val="32"/>
        </w:rPr>
      </w:pPr>
      <w:r>
        <w:rPr>
          <w:rFonts w:hint="default" w:ascii="楷体-GB2312" w:hAnsi="楷体-GB2312" w:eastAsia="楷体-GB2312" w:cs="楷体-GB2312"/>
          <w:b/>
          <w:bCs w:val="0"/>
          <w:kern w:val="2"/>
          <w:sz w:val="32"/>
          <w:szCs w:val="32"/>
        </w:rPr>
        <w:t>一般禁用区</w:t>
      </w:r>
    </w:p>
    <w:p w14:paraId="5B1BA878">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default" w:ascii="仿宋_GB2312" w:eastAsia="仿宋_GB2312" w:cs="仿宋_GB2312"/>
          <w:kern w:val="2"/>
          <w:sz w:val="32"/>
          <w:szCs w:val="32"/>
        </w:rPr>
      </w:pPr>
      <w:r>
        <w:rPr>
          <w:rFonts w:hint="default" w:ascii="仿宋_GB2312" w:hAnsi="Calibri" w:eastAsia="仿宋_GB2312" w:cs="仿宋_GB2312"/>
          <w:kern w:val="2"/>
          <w:sz w:val="32"/>
          <w:szCs w:val="32"/>
          <w:lang w:val="en-US" w:eastAsia="zh-CN" w:bidi="ar"/>
        </w:rPr>
        <w:t>一般禁用区包括以下道路为界形成的环形区域（含道路）</w:t>
      </w:r>
    </w:p>
    <w:p w14:paraId="763ED710">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default" w:ascii="仿宋_GB2312" w:eastAsia="仿宋_GB2312" w:cs="仿宋_GB2312"/>
          <w:kern w:val="2"/>
          <w:sz w:val="32"/>
          <w:szCs w:val="32"/>
        </w:rPr>
      </w:pPr>
      <w:r>
        <w:rPr>
          <w:rFonts w:hint="default" w:ascii="仿宋_GB2312" w:hAnsi="Calibri" w:eastAsia="仿宋_GB2312" w:cs="仿宋_GB2312"/>
          <w:kern w:val="2"/>
          <w:sz w:val="32"/>
          <w:szCs w:val="32"/>
          <w:lang w:val="en-US" w:eastAsia="zh-CN" w:bidi="ar"/>
        </w:rPr>
        <w:t>北线：光谷大道→常横线→东升东路</w:t>
      </w:r>
    </w:p>
    <w:p w14:paraId="070B5141">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default" w:ascii="仿宋_GB2312" w:eastAsia="仿宋_GB2312" w:cs="仿宋_GB2312"/>
          <w:kern w:val="2"/>
          <w:sz w:val="32"/>
          <w:szCs w:val="32"/>
        </w:rPr>
      </w:pPr>
      <w:r>
        <w:rPr>
          <w:rFonts w:hint="default" w:ascii="仿宋_GB2312" w:hAnsi="Calibri" w:eastAsia="仿宋_GB2312" w:cs="仿宋_GB2312"/>
          <w:kern w:val="2"/>
          <w:sz w:val="32"/>
          <w:szCs w:val="32"/>
          <w:lang w:val="en-US" w:eastAsia="zh-CN" w:bidi="ar"/>
        </w:rPr>
        <w:t>起止点：光谷大道与泉都大道交叉点→东升东路与横沟北路交叉点；</w:t>
      </w:r>
    </w:p>
    <w:p w14:paraId="1F5988D4">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default" w:ascii="仿宋_GB2312" w:eastAsia="仿宋_GB2312" w:cs="仿宋_GB2312"/>
          <w:kern w:val="2"/>
          <w:sz w:val="32"/>
          <w:szCs w:val="32"/>
        </w:rPr>
      </w:pPr>
      <w:r>
        <w:rPr>
          <w:rFonts w:hint="default" w:ascii="仿宋_GB2312" w:hAnsi="Calibri" w:eastAsia="仿宋_GB2312" w:cs="仿宋_GB2312"/>
          <w:kern w:val="2"/>
          <w:sz w:val="32"/>
          <w:szCs w:val="32"/>
          <w:lang w:val="en-US" w:eastAsia="zh-CN" w:bidi="ar"/>
        </w:rPr>
        <w:t>西线：横沟南路→咸安大道→官埠大道→七眼潭路→鱼水路北延线（规划）→咸安大道→巨宁大道</w:t>
      </w:r>
    </w:p>
    <w:p w14:paraId="55DEBEC7">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default" w:ascii="仿宋_GB2312" w:eastAsia="仿宋_GB2312" w:cs="仿宋_GB2312"/>
          <w:kern w:val="2"/>
          <w:sz w:val="32"/>
          <w:szCs w:val="32"/>
        </w:rPr>
      </w:pPr>
      <w:r>
        <w:rPr>
          <w:rFonts w:hint="default" w:ascii="仿宋_GB2312" w:hAnsi="Calibri" w:eastAsia="仿宋_GB2312" w:cs="仿宋_GB2312"/>
          <w:kern w:val="2"/>
          <w:sz w:val="32"/>
          <w:szCs w:val="32"/>
          <w:lang w:val="en-US" w:eastAsia="zh-CN" w:bidi="ar"/>
        </w:rPr>
        <w:t>起止点：东升东路与横沟南路交叉点→巨宁大道与嫦娥大道交叉路口；</w:t>
      </w:r>
    </w:p>
    <w:p w14:paraId="4E555096">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default" w:ascii="仿宋_GB2312" w:eastAsia="仿宋_GB2312" w:cs="仿宋_GB2312"/>
          <w:kern w:val="2"/>
          <w:sz w:val="32"/>
          <w:szCs w:val="32"/>
        </w:rPr>
      </w:pPr>
      <w:r>
        <w:rPr>
          <w:rFonts w:hint="default" w:ascii="仿宋_GB2312" w:hAnsi="Calibri" w:eastAsia="仿宋_GB2312" w:cs="仿宋_GB2312"/>
          <w:kern w:val="2"/>
          <w:sz w:val="32"/>
          <w:szCs w:val="32"/>
          <w:lang w:val="en-US" w:eastAsia="zh-CN" w:bidi="ar"/>
        </w:rPr>
        <w:t>南线：嫦娥大道→太乙大道→马柏大道</w:t>
      </w:r>
    </w:p>
    <w:p w14:paraId="23674B0F">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default" w:ascii="仿宋_GB2312" w:eastAsia="仿宋_GB2312" w:cs="仿宋_GB2312"/>
          <w:kern w:val="2"/>
          <w:sz w:val="32"/>
          <w:szCs w:val="32"/>
        </w:rPr>
      </w:pPr>
      <w:r>
        <w:rPr>
          <w:rFonts w:hint="default" w:ascii="仿宋_GB2312" w:hAnsi="Calibri" w:eastAsia="仿宋_GB2312" w:cs="仿宋_GB2312"/>
          <w:kern w:val="2"/>
          <w:sz w:val="32"/>
          <w:szCs w:val="32"/>
          <w:lang w:val="en-US" w:eastAsia="zh-CN" w:bidi="ar"/>
        </w:rPr>
        <w:t>起止点：嫦娥大道与太乙大道交叉点→马柏大道与东外环交叉点；</w:t>
      </w:r>
    </w:p>
    <w:p w14:paraId="6363F04D">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default" w:ascii="仿宋_GB2312" w:eastAsia="仿宋_GB2312" w:cs="仿宋_GB2312"/>
          <w:kern w:val="2"/>
          <w:sz w:val="32"/>
          <w:szCs w:val="32"/>
        </w:rPr>
      </w:pPr>
      <w:r>
        <w:rPr>
          <w:rFonts w:hint="default" w:ascii="仿宋_GB2312" w:hAnsi="Calibri" w:eastAsia="仿宋_GB2312" w:cs="仿宋_GB2312"/>
          <w:kern w:val="2"/>
          <w:sz w:val="32"/>
          <w:szCs w:val="32"/>
          <w:lang w:val="en-US" w:eastAsia="zh-CN" w:bidi="ar"/>
        </w:rPr>
        <w:t>东线：东外环→泉都大道</w:t>
      </w:r>
    </w:p>
    <w:p w14:paraId="6AAA6B64">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default" w:ascii="仿宋_GB2312" w:eastAsia="仿宋_GB2312" w:cs="仿宋_GB2312"/>
          <w:kern w:val="2"/>
          <w:sz w:val="32"/>
          <w:szCs w:val="32"/>
        </w:rPr>
      </w:pPr>
      <w:r>
        <w:rPr>
          <w:rFonts w:hint="default" w:ascii="仿宋_GB2312" w:hAnsi="Calibri" w:eastAsia="仿宋_GB2312" w:cs="仿宋_GB2312"/>
          <w:kern w:val="2"/>
          <w:sz w:val="32"/>
          <w:szCs w:val="32"/>
          <w:lang w:val="en-US" w:eastAsia="zh-CN" w:bidi="ar"/>
        </w:rPr>
        <w:t>起止点：马柏大道与东外环交汇点→泉都大道与光谷大道交汇点。</w:t>
      </w:r>
    </w:p>
    <w:p w14:paraId="55D1AA98">
      <w:pPr>
        <w:pStyle w:val="4"/>
        <w:keepNext w:val="0"/>
        <w:keepLines w:val="0"/>
        <w:widowControl w:val="0"/>
        <w:numPr>
          <w:ilvl w:val="0"/>
          <w:numId w:val="2"/>
        </w:numPr>
        <w:suppressLineNumbers w:val="0"/>
        <w:autoSpaceDE w:val="0"/>
        <w:autoSpaceDN/>
        <w:spacing w:line="560" w:lineRule="exact"/>
        <w:rPr>
          <w:rFonts w:hint="eastAsia" w:ascii="楷体-GB2312" w:hAnsi="楷体-GB2312" w:eastAsia="楷体-GB2312" w:cs="楷体-GB2312"/>
          <w:b/>
          <w:bCs w:val="0"/>
          <w:kern w:val="2"/>
          <w:sz w:val="32"/>
          <w:szCs w:val="32"/>
        </w:rPr>
      </w:pPr>
      <w:r>
        <w:rPr>
          <w:rFonts w:hint="eastAsia" w:ascii="楷体-GB2312" w:hAnsi="楷体-GB2312" w:eastAsia="楷体-GB2312" w:cs="楷体-GB2312"/>
          <w:b/>
          <w:bCs w:val="0"/>
          <w:kern w:val="2"/>
          <w:sz w:val="32"/>
          <w:szCs w:val="32"/>
        </w:rPr>
        <w:t>核心禁用区</w:t>
      </w:r>
    </w:p>
    <w:p w14:paraId="106AD0F0">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核心禁用区包括以下道路为界形成的环形区域（含道路）</w:t>
      </w:r>
    </w:p>
    <w:p w14:paraId="0D7EC6DA">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北线：官埠大道</w:t>
      </w:r>
    </w:p>
    <w:p w14:paraId="4D6C74EF">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起止点：官埠大道与贺胜路交叉点→官埠大道与龟山路交叉点；</w:t>
      </w:r>
    </w:p>
    <w:p w14:paraId="6D3D3421">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西线：龟山路→桂乡大道→永安大道</w:t>
      </w:r>
    </w:p>
    <w:p w14:paraId="382025A9">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起止点：龟山路与官埠大道交叉点→嫦娥大道与永安大道交叉点；</w:t>
      </w:r>
    </w:p>
    <w:p w14:paraId="3F8D7041">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南线：嫦娥大道</w:t>
      </w:r>
    </w:p>
    <w:p w14:paraId="779373EA">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起止点：嫦娥大道与永安大道交叉点→嫦娥大道与咸宁大道交叉点；</w:t>
      </w:r>
    </w:p>
    <w:p w14:paraId="4BB8D12D">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东线：咸宁大道→淦河大道→温泉路→贺胜路</w:t>
      </w:r>
    </w:p>
    <w:p w14:paraId="179D6373">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
        </w:rPr>
        <w:t>起止点：咸宁大道与嫦娥大道交叉点→贺胜路与官埠大道交叉点；</w:t>
      </w:r>
    </w:p>
    <w:p w14:paraId="58E1A082">
      <w:pPr>
        <w:pStyle w:val="3"/>
        <w:keepNext w:val="0"/>
        <w:keepLines w:val="0"/>
        <w:widowControl w:val="0"/>
        <w:numPr>
          <w:ilvl w:val="0"/>
          <w:numId w:val="1"/>
        </w:numPr>
        <w:suppressLineNumbers w:val="0"/>
        <w:autoSpaceDE w:val="0"/>
        <w:autoSpaceDN/>
        <w:spacing w:line="560" w:lineRule="exact"/>
        <w:rPr>
          <w:rFonts w:hint="default" w:ascii="黑体" w:hAnsi="宋体" w:eastAsia="黑体" w:cs="黑体"/>
          <w:b w:val="0"/>
          <w:bCs/>
          <w:kern w:val="44"/>
          <w:sz w:val="32"/>
          <w:szCs w:val="32"/>
        </w:rPr>
      </w:pPr>
      <w:r>
        <w:rPr>
          <w:rFonts w:hint="default" w:ascii="黑体" w:hAnsi="宋体" w:eastAsia="黑体" w:cs="黑体"/>
          <w:b w:val="0"/>
          <w:bCs/>
          <w:kern w:val="44"/>
          <w:sz w:val="32"/>
          <w:szCs w:val="32"/>
        </w:rPr>
        <w:t>非道路移动机械种类及高排放非道路移动机械标准</w:t>
      </w:r>
    </w:p>
    <w:p w14:paraId="11448BAD">
      <w:pPr>
        <w:keepNext w:val="0"/>
        <w:keepLines w:val="0"/>
        <w:widowControl w:val="0"/>
        <w:numPr>
          <w:ilvl w:val="0"/>
          <w:numId w:val="3"/>
        </w:numPr>
        <w:suppressLineNumbers w:val="0"/>
        <w:autoSpaceDE w:val="0"/>
        <w:autoSpaceDN/>
        <w:spacing w:before="0" w:beforeAutospacing="0" w:after="0" w:afterAutospacing="0" w:line="560" w:lineRule="exact"/>
        <w:ind w:left="0" w:right="0" w:firstLine="640" w:firstLineChars="200"/>
        <w:jc w:val="both"/>
        <w:rPr>
          <w:rFonts w:hint="default" w:ascii="仿宋_GB2312" w:eastAsia="仿宋_GB2312" w:cs="仿宋_GB2312"/>
          <w:kern w:val="2"/>
          <w:sz w:val="32"/>
          <w:szCs w:val="32"/>
        </w:rPr>
      </w:pPr>
      <w:r>
        <w:rPr>
          <w:rFonts w:hint="default" w:ascii="仿宋_GB2312" w:hAnsi="Calibri" w:eastAsia="仿宋_GB2312" w:cs="仿宋_GB2312"/>
          <w:kern w:val="2"/>
          <w:sz w:val="32"/>
          <w:szCs w:val="32"/>
          <w:lang w:val="en-US" w:eastAsia="zh-CN" w:bidi="ar"/>
        </w:rPr>
        <w:t>本通告中非道路移动机械，指用于非道路上的各类机械，包括自驱动或具有双重功能（既能自驱动又能进行其他功能操作）的机械以及不能自驱动但被设计成能够从一个地方移动或被移动到另一个地方的机械。主要有工业钻探设备、工程机械（包括挖掘机械、铲土运输机械、起重机械、叉车、压实机械、路面施工与养护机械、混凝土机械、掘进机械、桩工机械、高空作业机械、凿岩机械等）、农业机械（包括拖拉机、联合收割机等）、林业机械、材料装卸机械、雪犁装备、机场地勤设备等。</w:t>
      </w:r>
    </w:p>
    <w:p w14:paraId="5427A553">
      <w:pPr>
        <w:keepNext w:val="0"/>
        <w:keepLines w:val="0"/>
        <w:widowControl w:val="0"/>
        <w:numPr>
          <w:ilvl w:val="0"/>
          <w:numId w:val="3"/>
        </w:numPr>
        <w:suppressLineNumbers w:val="0"/>
        <w:autoSpaceDE w:val="0"/>
        <w:autoSpaceDN/>
        <w:spacing w:before="0" w:beforeAutospacing="0" w:after="0" w:afterAutospacing="0" w:line="560" w:lineRule="exact"/>
        <w:ind w:left="0" w:right="0" w:firstLine="640" w:firstLineChars="200"/>
        <w:jc w:val="both"/>
        <w:rPr>
          <w:rFonts w:hint="default" w:ascii="仿宋_GB2312" w:eastAsia="仿宋_GB2312" w:cs="仿宋_GB2312"/>
          <w:kern w:val="2"/>
          <w:sz w:val="32"/>
          <w:szCs w:val="32"/>
        </w:rPr>
      </w:pPr>
      <w:r>
        <w:rPr>
          <w:rFonts w:hint="default" w:ascii="仿宋_GB2312" w:hAnsi="Calibri" w:eastAsia="仿宋_GB2312" w:cs="仿宋_GB2312"/>
          <w:kern w:val="2"/>
          <w:sz w:val="32"/>
          <w:szCs w:val="32"/>
          <w:lang w:val="en-US" w:eastAsia="zh-CN" w:bidi="ar"/>
        </w:rPr>
        <w:t>非道路移动机械有下列情形之一属于高排放：</w:t>
      </w:r>
    </w:p>
    <w:p w14:paraId="65824C3C">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default" w:ascii="仿宋_GB2312" w:eastAsia="仿宋_GB2312" w:cs="仿宋_GB2312"/>
          <w:kern w:val="2"/>
          <w:sz w:val="32"/>
          <w:szCs w:val="32"/>
        </w:rPr>
      </w:pPr>
      <w:r>
        <w:rPr>
          <w:rFonts w:hint="default" w:ascii="仿宋_GB2312" w:hAnsi="Calibri" w:eastAsia="仿宋_GB2312" w:cs="仿宋_GB2312"/>
          <w:kern w:val="2"/>
          <w:sz w:val="32"/>
          <w:szCs w:val="32"/>
          <w:lang w:val="en-US" w:eastAsia="zh-CN" w:bidi="ar"/>
        </w:rPr>
        <w:t>1.《中华人民共和国大气污染防治法》第五十九条，未安装污染控制装置或者污染控制装置不符合要求的。</w:t>
      </w:r>
    </w:p>
    <w:p w14:paraId="34B6AAE6">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default" w:ascii="仿宋_GB2312" w:eastAsia="仿宋_GB2312" w:cs="仿宋_GB2312"/>
          <w:kern w:val="2"/>
          <w:sz w:val="32"/>
          <w:szCs w:val="32"/>
        </w:rPr>
      </w:pPr>
      <w:r>
        <w:rPr>
          <w:rFonts w:hint="default" w:ascii="仿宋_GB2312" w:hAnsi="Calibri" w:eastAsia="仿宋_GB2312" w:cs="仿宋_GB2312"/>
          <w:kern w:val="2"/>
          <w:sz w:val="32"/>
          <w:szCs w:val="32"/>
          <w:lang w:val="en-US" w:eastAsia="zh-CN" w:bidi="ar"/>
        </w:rPr>
        <w:t>2.一般禁用区内，未达到《非道路移动机械用柴油机排气污染物排放限值及测量方法（中国第Ⅰ、Ⅱ阶段）》（GB20891-2007）第Ⅱ阶段标准的；或经检测排气烟度值不符合《非道路柴油移动机械排气烟度限值及测量方法》（GB36886-2018）Ⅱ类限值的；或目视有明显可见烟的。</w:t>
      </w:r>
    </w:p>
    <w:p w14:paraId="54D28F0C">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default" w:ascii="仿宋_GB2312" w:eastAsia="仿宋_GB2312" w:cs="仿宋_GB2312"/>
          <w:kern w:val="2"/>
          <w:sz w:val="32"/>
          <w:szCs w:val="32"/>
        </w:rPr>
      </w:pPr>
      <w:r>
        <w:rPr>
          <w:rFonts w:hint="default" w:ascii="仿宋_GB2312" w:hAnsi="Calibri" w:eastAsia="仿宋_GB2312" w:cs="仿宋_GB2312"/>
          <w:kern w:val="2"/>
          <w:sz w:val="32"/>
          <w:szCs w:val="32"/>
          <w:lang w:val="en-US" w:eastAsia="zh-CN" w:bidi="ar"/>
        </w:rPr>
        <w:t>3.核心禁用区内，未达到《非道路移动机械用柴油机排气污染物排放限值及测量方法（中国第三、四阶段）》（GB20891-2014）第三阶段标准的；或经检测排气烟度值不符合《非道路柴油移动机械排气烟度限值及测量方法》（GB36886-2018）Ⅲ类限值的；或目视有明显可见烟的。</w:t>
      </w:r>
    </w:p>
    <w:p w14:paraId="5D0F58F2">
      <w:pPr>
        <w:pStyle w:val="3"/>
        <w:keepNext w:val="0"/>
        <w:keepLines w:val="0"/>
        <w:widowControl w:val="0"/>
        <w:numPr>
          <w:ilvl w:val="0"/>
          <w:numId w:val="1"/>
        </w:numPr>
        <w:suppressLineNumbers w:val="0"/>
        <w:autoSpaceDE w:val="0"/>
        <w:autoSpaceDN/>
        <w:spacing w:line="560" w:lineRule="exact"/>
        <w:rPr>
          <w:rFonts w:hint="default" w:ascii="黑体" w:hAnsi="宋体" w:eastAsia="黑体" w:cs="黑体"/>
          <w:b w:val="0"/>
          <w:bCs/>
          <w:kern w:val="44"/>
          <w:sz w:val="32"/>
          <w:szCs w:val="32"/>
        </w:rPr>
      </w:pPr>
      <w:r>
        <w:rPr>
          <w:rFonts w:hint="default" w:ascii="黑体" w:hAnsi="宋体" w:eastAsia="黑体" w:cs="黑体"/>
          <w:b w:val="0"/>
          <w:bCs/>
          <w:kern w:val="44"/>
          <w:sz w:val="32"/>
          <w:szCs w:val="32"/>
        </w:rPr>
        <w:t>禁用区非道路移动机械的管理</w:t>
      </w:r>
    </w:p>
    <w:p w14:paraId="70E32200">
      <w:pPr>
        <w:keepNext w:val="0"/>
        <w:keepLines w:val="0"/>
        <w:widowControl w:val="0"/>
        <w:numPr>
          <w:ilvl w:val="0"/>
          <w:numId w:val="4"/>
        </w:numPr>
        <w:suppressLineNumbers w:val="0"/>
        <w:autoSpaceDE w:val="0"/>
        <w:autoSpaceDN/>
        <w:spacing w:before="0" w:beforeAutospacing="0" w:after="0" w:afterAutospacing="0" w:line="560" w:lineRule="exact"/>
        <w:ind w:left="0" w:right="0" w:firstLine="640" w:firstLineChars="200"/>
        <w:jc w:val="both"/>
        <w:rPr>
          <w:rFonts w:hint="default" w:ascii="仿宋_GB2312" w:eastAsia="仿宋_GB2312" w:cs="仿宋_GB2312"/>
          <w:color w:val="000000" w:themeColor="text1"/>
          <w:kern w:val="2"/>
          <w:sz w:val="32"/>
          <w:szCs w:val="32"/>
          <w14:textFill>
            <w14:solidFill>
              <w14:schemeClr w14:val="tx1"/>
            </w14:solidFill>
          </w14:textFill>
        </w:rPr>
      </w:pPr>
      <w:r>
        <w:rPr>
          <w:rFonts w:hint="default" w:ascii="仿宋_GB2312" w:hAnsi="Calibri" w:eastAsia="仿宋_GB2312" w:cs="仿宋_GB2312"/>
          <w:color w:val="000000" w:themeColor="text1"/>
          <w:kern w:val="2"/>
          <w:sz w:val="32"/>
          <w:szCs w:val="32"/>
          <w:lang w:val="en-US" w:eastAsia="zh-CN" w:bidi="ar"/>
          <w14:textFill>
            <w14:solidFill>
              <w14:schemeClr w14:val="tx1"/>
            </w14:solidFill>
          </w14:textFill>
        </w:rPr>
        <w:t>禁止销售超过污染排放标准和使用高排放的非道路移动机械。</w:t>
      </w:r>
    </w:p>
    <w:p w14:paraId="2844E0B4">
      <w:pPr>
        <w:keepNext w:val="0"/>
        <w:keepLines w:val="0"/>
        <w:widowControl w:val="0"/>
        <w:numPr>
          <w:ilvl w:val="0"/>
          <w:numId w:val="4"/>
        </w:numPr>
        <w:suppressLineNumbers w:val="0"/>
        <w:autoSpaceDE w:val="0"/>
        <w:autoSpaceDN/>
        <w:spacing w:before="0" w:beforeAutospacing="0" w:after="0" w:afterAutospacing="0" w:line="560" w:lineRule="exact"/>
        <w:ind w:left="0" w:right="0" w:firstLine="640" w:firstLineChars="200"/>
        <w:jc w:val="both"/>
        <w:rPr>
          <w:rFonts w:hint="default" w:ascii="仿宋_GB2312" w:eastAsia="仿宋_GB2312" w:cs="仿宋_GB2312"/>
          <w:color w:val="000000" w:themeColor="text1"/>
          <w:kern w:val="2"/>
          <w:sz w:val="32"/>
          <w:szCs w:val="32"/>
          <w14:textFill>
            <w14:solidFill>
              <w14:schemeClr w14:val="tx1"/>
            </w14:solidFill>
          </w14:textFill>
        </w:rPr>
      </w:pPr>
      <w:r>
        <w:rPr>
          <w:rFonts w:hint="default" w:ascii="仿宋_GB2312" w:hAnsi="Calibri" w:eastAsia="仿宋_GB2312" w:cs="仿宋_GB2312"/>
          <w:color w:val="000000" w:themeColor="text1"/>
          <w:kern w:val="2"/>
          <w:sz w:val="32"/>
          <w:szCs w:val="32"/>
          <w:lang w:val="en-US" w:eastAsia="zh-CN" w:bidi="ar"/>
          <w14:textFill>
            <w14:solidFill>
              <w14:schemeClr w14:val="tx1"/>
            </w14:solidFill>
          </w14:textFill>
        </w:rPr>
        <w:t>所有在用的机械应规范进行编码登记并张贴号牌、尾气排放达标。工程招标和施工、生产中</w:t>
      </w:r>
      <w:r>
        <w:rPr>
          <w:rFonts w:hint="eastAsia" w:ascii="仿宋_GB2312" w:eastAsia="仿宋_GB2312" w:cs="仿宋_GB2312"/>
          <w:color w:val="000000" w:themeColor="text1"/>
          <w:kern w:val="2"/>
          <w:sz w:val="32"/>
          <w:szCs w:val="32"/>
          <w:lang w:val="en-US" w:eastAsia="zh-CN" w:bidi="ar"/>
          <w14:textFill>
            <w14:solidFill>
              <w14:schemeClr w14:val="tx1"/>
            </w14:solidFill>
          </w14:textFill>
        </w:rPr>
        <w:t>，</w:t>
      </w:r>
      <w:r>
        <w:rPr>
          <w:rFonts w:hint="default" w:ascii="仿宋_GB2312" w:hAnsi="Calibri" w:eastAsia="仿宋_GB2312" w:cs="仿宋_GB2312"/>
          <w:color w:val="000000" w:themeColor="text1"/>
          <w:kern w:val="2"/>
          <w:sz w:val="32"/>
          <w:szCs w:val="32"/>
          <w:lang w:val="en-US" w:eastAsia="zh-CN" w:bidi="ar"/>
          <w14:textFill>
            <w14:solidFill>
              <w14:schemeClr w14:val="tx1"/>
            </w14:solidFill>
          </w14:textFill>
        </w:rPr>
        <w:t>鼓励选用新能源非道路移动机械。</w:t>
      </w:r>
    </w:p>
    <w:p w14:paraId="7B5182FE">
      <w:pPr>
        <w:keepNext w:val="0"/>
        <w:keepLines w:val="0"/>
        <w:widowControl w:val="0"/>
        <w:numPr>
          <w:ilvl w:val="0"/>
          <w:numId w:val="4"/>
        </w:numPr>
        <w:suppressLineNumbers w:val="0"/>
        <w:autoSpaceDE w:val="0"/>
        <w:autoSpaceDN/>
        <w:spacing w:before="0" w:beforeAutospacing="0" w:after="0" w:afterAutospacing="0" w:line="560" w:lineRule="exact"/>
        <w:ind w:left="0" w:right="0" w:firstLine="640" w:firstLineChars="200"/>
        <w:jc w:val="both"/>
        <w:rPr>
          <w:rFonts w:hint="default" w:ascii="仿宋_GB2312" w:eastAsia="仿宋_GB2312" w:cs="仿宋_GB2312"/>
          <w:kern w:val="2"/>
          <w:sz w:val="32"/>
          <w:szCs w:val="32"/>
        </w:rPr>
      </w:pPr>
      <w:r>
        <w:rPr>
          <w:rFonts w:hint="default" w:ascii="仿宋_GB2312" w:hAnsi="Calibri" w:eastAsia="仿宋_GB2312" w:cs="仿宋_GB2312"/>
          <w:kern w:val="2"/>
          <w:sz w:val="32"/>
          <w:szCs w:val="32"/>
          <w:lang w:val="en-US" w:eastAsia="zh-CN" w:bidi="ar"/>
        </w:rPr>
        <w:t>春耕生产、夏收夏种、秋收秋种期间，在乡村地区使用农业机械进行农业生产作业的不受禁止使用区域限制。</w:t>
      </w:r>
    </w:p>
    <w:p w14:paraId="1A84CDE2">
      <w:pPr>
        <w:keepNext w:val="0"/>
        <w:keepLines w:val="0"/>
        <w:widowControl w:val="0"/>
        <w:numPr>
          <w:ilvl w:val="0"/>
          <w:numId w:val="4"/>
        </w:numPr>
        <w:suppressLineNumbers w:val="0"/>
        <w:autoSpaceDE w:val="0"/>
        <w:autoSpaceDN/>
        <w:spacing w:before="0" w:beforeAutospacing="0" w:after="0" w:afterAutospacing="0" w:line="560" w:lineRule="exact"/>
        <w:ind w:left="0" w:right="0" w:firstLine="640" w:firstLineChars="200"/>
        <w:jc w:val="both"/>
        <w:rPr>
          <w:rFonts w:hint="default" w:ascii="仿宋_GB2312" w:eastAsia="仿宋_GB2312" w:cs="仿宋_GB2312"/>
          <w:kern w:val="2"/>
          <w:sz w:val="32"/>
          <w:szCs w:val="32"/>
        </w:rPr>
      </w:pPr>
      <w:r>
        <w:rPr>
          <w:rFonts w:hint="default" w:ascii="仿宋_GB2312" w:hAnsi="Calibri" w:eastAsia="仿宋_GB2312" w:cs="仿宋_GB2312"/>
          <w:kern w:val="2"/>
          <w:sz w:val="32"/>
          <w:szCs w:val="32"/>
          <w:lang w:val="en-US" w:eastAsia="zh-CN" w:bidi="ar"/>
        </w:rPr>
        <w:t xml:space="preserve">应急、抢险工程等使用的非道路移动机械，在应急抢险救灾期间不受禁止使用区管控要求限制。 </w:t>
      </w:r>
    </w:p>
    <w:p w14:paraId="6130C0E2">
      <w:pPr>
        <w:keepNext w:val="0"/>
        <w:keepLines w:val="0"/>
        <w:widowControl w:val="0"/>
        <w:numPr>
          <w:ilvl w:val="0"/>
          <w:numId w:val="4"/>
        </w:numPr>
        <w:suppressLineNumbers w:val="0"/>
        <w:autoSpaceDE w:val="0"/>
        <w:autoSpaceDN/>
        <w:spacing w:before="0" w:beforeAutospacing="0" w:after="0" w:afterAutospacing="0" w:line="560" w:lineRule="exact"/>
        <w:ind w:left="0" w:right="0" w:firstLine="640" w:firstLineChars="200"/>
        <w:jc w:val="both"/>
        <w:rPr>
          <w:rFonts w:hint="default" w:ascii="仿宋_GB2312" w:eastAsia="仿宋_GB2312" w:cs="仿宋_GB2312"/>
          <w:kern w:val="2"/>
          <w:sz w:val="32"/>
          <w:szCs w:val="32"/>
        </w:rPr>
      </w:pPr>
      <w:r>
        <w:rPr>
          <w:rFonts w:hint="default" w:ascii="仿宋_GB2312" w:hAnsi="Calibri" w:eastAsia="仿宋_GB2312" w:cs="仿宋_GB2312"/>
          <w:kern w:val="2"/>
          <w:sz w:val="32"/>
          <w:szCs w:val="32"/>
          <w:lang w:val="en-US" w:eastAsia="zh-CN" w:bidi="ar"/>
        </w:rPr>
        <w:t>对违反本通告规定的，由相关部门依法予以处理。</w:t>
      </w:r>
    </w:p>
    <w:p w14:paraId="4F308163">
      <w:pPr>
        <w:keepNext w:val="0"/>
        <w:keepLines w:val="0"/>
        <w:widowControl w:val="0"/>
        <w:numPr>
          <w:ilvl w:val="0"/>
          <w:numId w:val="0"/>
        </w:numPr>
        <w:suppressLineNumbers w:val="0"/>
        <w:autoSpaceDE w:val="0"/>
        <w:autoSpaceDN/>
        <w:spacing w:before="0" w:beforeAutospacing="0" w:after="0" w:afterAutospacing="0" w:line="560" w:lineRule="exact"/>
        <w:ind w:right="0" w:rightChars="0" w:firstLine="640" w:firstLineChars="200"/>
        <w:jc w:val="both"/>
        <w:rPr>
          <w:rFonts w:hint="eastAsia" w:ascii="黑体" w:hAnsi="黑体" w:eastAsia="黑体" w:cs="黑体"/>
          <w:kern w:val="2"/>
          <w:sz w:val="32"/>
          <w:szCs w:val="32"/>
          <w:lang w:val="en-US" w:eastAsia="zh-CN" w:bidi="ar"/>
        </w:rPr>
      </w:pPr>
      <w:r>
        <w:rPr>
          <w:rFonts w:hint="eastAsia" w:ascii="黑体" w:hAnsi="黑体" w:eastAsia="黑体" w:cs="黑体"/>
          <w:kern w:val="2"/>
          <w:sz w:val="32"/>
          <w:szCs w:val="32"/>
          <w:lang w:val="en-US" w:eastAsia="zh-CN" w:bidi="ar"/>
        </w:rPr>
        <w:t>四、实施时间</w:t>
      </w:r>
    </w:p>
    <w:p w14:paraId="1A56B599">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eastAsia" w:ascii="Calibri" w:hAnsi="Calibri" w:eastAsia="方正仿宋_GB2312" w:cs="Times New Roman"/>
          <w:kern w:val="2"/>
          <w:sz w:val="32"/>
          <w:szCs w:val="32"/>
          <w:lang w:val="en-US" w:eastAsia="zh-CN" w:bidi="ar"/>
        </w:rPr>
      </w:pPr>
      <w:r>
        <w:rPr>
          <w:rFonts w:hint="eastAsia" w:ascii="仿宋_GB2312" w:hAnsi="仿宋_GB2312" w:eastAsia="仿宋_GB2312" w:cs="仿宋_GB2312"/>
          <w:kern w:val="2"/>
          <w:sz w:val="32"/>
          <w:szCs w:val="32"/>
          <w:lang w:val="en-US" w:eastAsia="zh-CN" w:bidi="ar"/>
        </w:rPr>
        <w:t>本通告自发布之日起开始施行，有效期五年，国家有新的规定时按规定进行修改和调整。2020年1月6日发布的《关于划定咸宁市中心城区高排放非道路移动机械禁止使用区域的通告》同时废止。</w:t>
      </w:r>
      <w:r>
        <w:rPr>
          <w:rFonts w:hint="eastAsia" w:ascii="Calibri" w:hAnsi="Calibri" w:eastAsia="方正仿宋_GB2312" w:cs="Times New Roman"/>
          <w:kern w:val="2"/>
          <w:sz w:val="32"/>
          <w:szCs w:val="32"/>
          <w:lang w:val="en-US" w:eastAsia="zh-CN" w:bidi="ar"/>
        </w:rPr>
        <w:t xml:space="preserve">         </w:t>
      </w:r>
    </w:p>
    <w:p w14:paraId="6BA1D353">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eastAsia" w:ascii="Calibri" w:hAnsi="Calibri" w:eastAsia="方正仿宋_GB2312" w:cs="Times New Roman"/>
          <w:kern w:val="2"/>
          <w:sz w:val="32"/>
          <w:szCs w:val="32"/>
          <w:lang w:val="en-US" w:eastAsia="zh-CN" w:bidi="ar"/>
        </w:rPr>
      </w:pPr>
    </w:p>
    <w:p w14:paraId="374C7D75">
      <w:pPr>
        <w:pStyle w:val="2"/>
        <w:ind w:left="2238" w:leftChars="304" w:hanging="1600" w:hangingChars="500"/>
        <w:rPr>
          <w:rFonts w:hint="eastAsia" w:ascii="方正仿宋_GB2312" w:hAnsi="方正仿宋_GB2312" w:eastAsia="方正仿宋_GB2312" w:cs="方正仿宋_GB2312"/>
          <w:kern w:val="2"/>
          <w:sz w:val="32"/>
          <w:szCs w:val="32"/>
          <w:lang w:val="en-US" w:eastAsia="zh-CN" w:bidi="ar"/>
        </w:rPr>
      </w:pPr>
      <w:r>
        <w:rPr>
          <w:rFonts w:hint="eastAsia" w:ascii="方正仿宋_GB2312" w:hAnsi="方正仿宋_GB2312" w:eastAsia="方正仿宋_GB2312" w:cs="方正仿宋_GB2312"/>
          <w:kern w:val="2"/>
          <w:sz w:val="32"/>
          <w:szCs w:val="32"/>
          <w:lang w:val="en-US" w:eastAsia="zh-CN" w:bidi="ar"/>
        </w:rPr>
        <w:t>附件：1.1</w:t>
      </w:r>
      <w:r>
        <w:rPr>
          <w:rFonts w:hint="eastAsia" w:ascii="方正仿宋_GB2312" w:hAnsi="方正仿宋_GB2312" w:eastAsia="方正仿宋_GB2312" w:cs="方正仿宋_GB2312"/>
          <w:w w:val="95"/>
          <w:kern w:val="2"/>
          <w:sz w:val="32"/>
          <w:szCs w:val="32"/>
          <w:lang w:val="en-US" w:eastAsia="zh-CN" w:bidi="ar"/>
        </w:rPr>
        <w:t>咸宁市中心城区高排放非道路移动机械禁止使用区域</w:t>
      </w:r>
    </w:p>
    <w:p w14:paraId="40F6F9CF">
      <w:pPr>
        <w:pStyle w:val="2"/>
        <w:ind w:firstLine="1600" w:firstLineChars="500"/>
        <w:rPr>
          <w:rFonts w:hint="eastAsia" w:ascii="方正仿宋_GB2312" w:hAnsi="方正仿宋_GB2312" w:eastAsia="方正仿宋_GB2312" w:cs="方正仿宋_GB2312"/>
          <w:kern w:val="2"/>
          <w:sz w:val="32"/>
          <w:szCs w:val="32"/>
          <w:lang w:val="en-US" w:eastAsia="zh-CN" w:bidi="ar"/>
        </w:rPr>
      </w:pPr>
      <w:r>
        <w:rPr>
          <w:rFonts w:hint="eastAsia" w:ascii="方正仿宋_GB2312" w:hAnsi="方正仿宋_GB2312" w:eastAsia="方正仿宋_GB2312" w:cs="方正仿宋_GB2312"/>
          <w:kern w:val="2"/>
          <w:sz w:val="32"/>
          <w:szCs w:val="32"/>
          <w:lang w:val="en-US" w:eastAsia="zh-CN" w:bidi="ar"/>
        </w:rPr>
        <w:t>1.2</w:t>
      </w:r>
      <w:r>
        <w:rPr>
          <w:rFonts w:hint="eastAsia" w:ascii="方正仿宋_GB2312" w:hAnsi="方正仿宋_GB2312" w:eastAsia="方正仿宋_GB2312" w:cs="方正仿宋_GB2312"/>
          <w:bCs w:val="0"/>
          <w:kern w:val="0"/>
          <w:sz w:val="32"/>
          <w:szCs w:val="32"/>
          <w:lang w:val="en-US" w:eastAsia="zh-CN" w:bidi="ar"/>
        </w:rPr>
        <w:t>排气烟度限值</w:t>
      </w:r>
    </w:p>
    <w:p w14:paraId="250C5F96">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eastAsia" w:ascii="Calibri" w:hAnsi="Calibri" w:eastAsia="方正仿宋_GB2312" w:cs="Times New Roman"/>
          <w:kern w:val="2"/>
          <w:sz w:val="32"/>
          <w:szCs w:val="32"/>
          <w:lang w:val="en-US" w:eastAsia="zh-CN" w:bidi="ar"/>
        </w:rPr>
      </w:pPr>
    </w:p>
    <w:p w14:paraId="19F93C5A">
      <w:pPr>
        <w:pStyle w:val="2"/>
        <w:rPr>
          <w:rFonts w:hint="eastAsia"/>
          <w:lang w:val="en-US" w:eastAsia="zh-CN"/>
        </w:rPr>
      </w:pPr>
    </w:p>
    <w:p w14:paraId="7C217038">
      <w:pPr>
        <w:rPr>
          <w:rFonts w:hint="eastAsia" w:ascii="仿宋_GB2312" w:hAnsi="仿宋_GB2312" w:eastAsia="仿宋_GB2312" w:cs="仿宋_GB2312"/>
          <w:color w:val="000000"/>
          <w:kern w:val="2"/>
          <w:sz w:val="32"/>
          <w:szCs w:val="32"/>
        </w:rPr>
        <w:sectPr>
          <w:footerReference r:id="rId3" w:type="default"/>
          <w:pgSz w:w="11906" w:h="16838"/>
          <w:pgMar w:top="1440" w:right="1800" w:bottom="1440" w:left="1800" w:header="709" w:footer="1417" w:gutter="0"/>
          <w:pgNumType w:fmt="decimal"/>
          <w:cols w:space="720" w:num="1"/>
          <w:docGrid w:type="lines" w:linePitch="580" w:charSpace="0"/>
        </w:sectPr>
      </w:pPr>
    </w:p>
    <w:p w14:paraId="77223E13">
      <w:pPr>
        <w:keepNext w:val="0"/>
        <w:keepLines w:val="0"/>
        <w:widowControl w:val="0"/>
        <w:suppressLineNumbers w:val="0"/>
        <w:spacing w:before="0" w:beforeAutospacing="0" w:after="0" w:afterAutospacing="0" w:line="576" w:lineRule="exact"/>
        <w:ind w:left="0" w:leftChars="0" w:right="0" w:firstLine="0" w:firstLineChars="0"/>
        <w:jc w:val="both"/>
        <w:rPr>
          <w:rFonts w:hint="default" w:ascii="黑体" w:hAnsi="黑体" w:eastAsia="黑体" w:cs="黑体"/>
          <w:kern w:val="2"/>
          <w:sz w:val="32"/>
          <w:szCs w:val="32"/>
          <w:lang w:val="en-US" w:eastAsia="zh-CN" w:bidi="ar"/>
        </w:rPr>
      </w:pPr>
      <w:r>
        <w:rPr>
          <w:rFonts w:hint="eastAsia" w:ascii="黑体" w:hAnsi="黑体" w:eastAsia="黑体" w:cs="黑体"/>
          <w:kern w:val="2"/>
          <w:sz w:val="32"/>
          <w:szCs w:val="32"/>
          <w:lang w:val="en-US" w:eastAsia="zh-CN" w:bidi="ar"/>
        </w:rPr>
        <w:t>附件1.1</w:t>
      </w:r>
    </w:p>
    <w:p w14:paraId="52EE83B4">
      <w:pPr>
        <w:keepNext w:val="0"/>
        <w:keepLines w:val="0"/>
        <w:widowControl w:val="0"/>
        <w:suppressLineNumbers w:val="0"/>
        <w:spacing w:before="0" w:beforeAutospacing="0" w:after="0" w:afterAutospacing="0" w:line="576" w:lineRule="exact"/>
        <w:ind w:left="0" w:leftChars="0" w:right="0" w:firstLine="0" w:firstLineChars="0"/>
        <w:jc w:val="both"/>
        <w:rPr>
          <w:rFonts w:hint="eastAsia" w:ascii="仿宋_GB2312" w:hAnsi="仿宋_GB2312" w:eastAsia="仿宋_GB2312" w:cs="仿宋_GB2312"/>
          <w:kern w:val="2"/>
          <w:sz w:val="32"/>
          <w:szCs w:val="32"/>
          <w:lang w:val="en-US" w:eastAsia="zh-CN" w:bidi="ar"/>
        </w:rPr>
      </w:pPr>
    </w:p>
    <w:p w14:paraId="5F4FFE50">
      <w:pPr>
        <w:keepNext w:val="0"/>
        <w:keepLines w:val="0"/>
        <w:widowControl w:val="0"/>
        <w:suppressLineNumbers w:val="0"/>
        <w:spacing w:before="0" w:beforeAutospacing="0" w:after="0" w:afterAutospacing="0" w:line="576" w:lineRule="exact"/>
        <w:ind w:left="0" w:leftChars="0" w:right="0" w:firstLine="0" w:firstLineChars="0"/>
        <w:jc w:val="center"/>
        <w:rPr>
          <w:rFonts w:hint="eastAsia" w:ascii="方正小标宋_GBK" w:hAnsi="方正小标宋_GBK" w:eastAsia="方正小标宋_GBK" w:cs="方正小标宋_GBK"/>
          <w:kern w:val="2"/>
          <w:sz w:val="32"/>
          <w:szCs w:val="32"/>
        </w:rPr>
      </w:pPr>
      <w:r>
        <w:rPr>
          <w:rFonts w:hint="eastAsia" w:ascii="方正小标宋_GBK" w:hAnsi="方正小标宋_GBK" w:eastAsia="方正小标宋_GBK" w:cs="方正小标宋_GBK"/>
          <w:kern w:val="2"/>
          <w:sz w:val="32"/>
          <w:szCs w:val="32"/>
          <w:lang w:val="en-US" w:eastAsia="zh-CN" w:bidi="ar"/>
        </w:rPr>
        <w:t>咸宁市中心城区高排放非道路移动机械禁止使用区域</w:t>
      </w:r>
    </w:p>
    <w:p w14:paraId="6CC15168">
      <w:pPr>
        <w:keepNext w:val="0"/>
        <w:keepLines w:val="0"/>
        <w:widowControl w:val="0"/>
        <w:suppressLineNumbers w:val="0"/>
        <w:spacing w:before="0" w:beforeAutospacing="0" w:after="0" w:afterAutospacing="0" w:line="576" w:lineRule="exact"/>
        <w:ind w:left="0" w:right="0" w:firstLine="0" w:firstLineChars="0"/>
        <w:jc w:val="both"/>
        <w:rPr>
          <w:rFonts w:hint="default" w:ascii="Calibri" w:hAnsi="Calibri" w:eastAsia="方正仿宋_GB2312" w:cs="Times New Roman"/>
          <w:color w:val="000000"/>
          <w:kern w:val="2"/>
          <w:sz w:val="32"/>
          <w:szCs w:val="32"/>
        </w:rPr>
      </w:pPr>
      <w:r>
        <w:rPr>
          <w:rFonts w:hint="default" w:ascii="Calibri" w:hAnsi="Calibri" w:eastAsia="方正仿宋_GB2312" w:cs="Times New Roman"/>
          <w:color w:val="000000"/>
          <w:kern w:val="2"/>
          <w:sz w:val="32"/>
          <w:szCs w:val="32"/>
          <w:lang w:val="en-US" w:eastAsia="zh-CN" w:bidi="ar"/>
        </w:rPr>
        <w:t xml:space="preserve"> </w:t>
      </w:r>
      <w:r>
        <w:rPr>
          <w:rFonts w:hint="eastAsia"/>
        </w:rPr>
        <w:drawing>
          <wp:anchor distT="0" distB="0" distL="114300" distR="114300" simplePos="0" relativeHeight="251660288" behindDoc="0" locked="0" layoutInCell="1" allowOverlap="1">
            <wp:simplePos x="0" y="0"/>
            <wp:positionH relativeFrom="column">
              <wp:posOffset>-618490</wp:posOffset>
            </wp:positionH>
            <wp:positionV relativeFrom="paragraph">
              <wp:posOffset>217170</wp:posOffset>
            </wp:positionV>
            <wp:extent cx="6597650" cy="5504180"/>
            <wp:effectExtent l="12700" t="12700" r="19050" b="20320"/>
            <wp:wrapNone/>
            <wp:docPr id="4" name="图片 4" descr="H:/2025咸宁环保局/禁止高排放区域划定/核心区/核心区.png核心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H:/2025咸宁环保局/禁止高排放区域划定/核心区/核心区.png核心区"/>
                    <pic:cNvPicPr>
                      <a:picLocks noChangeAspect="1"/>
                    </pic:cNvPicPr>
                  </pic:nvPicPr>
                  <pic:blipFill>
                    <a:blip r:embed="rId5"/>
                    <a:srcRect l="4653" r="4653"/>
                    <a:stretch>
                      <a:fillRect/>
                    </a:stretch>
                  </pic:blipFill>
                  <pic:spPr>
                    <a:xfrm>
                      <a:off x="0" y="0"/>
                      <a:ext cx="6597650" cy="5504180"/>
                    </a:xfrm>
                    <a:prstGeom prst="rect">
                      <a:avLst/>
                    </a:prstGeom>
                    <a:ln>
                      <a:solidFill>
                        <a:schemeClr val="tx1"/>
                      </a:solidFill>
                    </a:ln>
                  </pic:spPr>
                </pic:pic>
              </a:graphicData>
            </a:graphic>
          </wp:anchor>
        </w:drawing>
      </w:r>
    </w:p>
    <w:p w14:paraId="44434F2C">
      <w:pPr>
        <w:keepNext w:val="0"/>
        <w:keepLines w:val="0"/>
        <w:widowControl w:val="0"/>
        <w:suppressLineNumbers w:val="0"/>
        <w:spacing w:before="0" w:beforeAutospacing="0" w:after="0" w:afterAutospacing="0" w:line="576" w:lineRule="exact"/>
        <w:ind w:left="0" w:right="0" w:firstLine="0" w:firstLineChars="0"/>
        <w:jc w:val="both"/>
        <w:rPr>
          <w:rFonts w:hint="default" w:ascii="Calibri" w:hAnsi="Calibri" w:eastAsia="方正仿宋_GB2312" w:cs="Times New Roman"/>
          <w:color w:val="000000"/>
          <w:kern w:val="2"/>
          <w:sz w:val="32"/>
          <w:szCs w:val="32"/>
        </w:rPr>
      </w:pPr>
      <w:r>
        <w:rPr>
          <w:rFonts w:hint="default" w:ascii="Calibri" w:hAnsi="Calibri" w:eastAsia="方正仿宋_GB2312" w:cs="Times New Roman"/>
          <w:color w:val="000000"/>
          <w:kern w:val="2"/>
          <w:sz w:val="32"/>
          <w:szCs w:val="32"/>
          <w:lang w:val="en-US" w:eastAsia="zh-CN" w:bidi="ar"/>
        </w:rPr>
        <w:t xml:space="preserve"> </w:t>
      </w:r>
    </w:p>
    <w:p w14:paraId="16C2ABF9">
      <w:pPr>
        <w:keepNext w:val="0"/>
        <w:keepLines w:val="0"/>
        <w:widowControl w:val="0"/>
        <w:suppressLineNumbers w:val="0"/>
        <w:spacing w:before="0" w:beforeAutospacing="0" w:after="0" w:afterAutospacing="0" w:line="576" w:lineRule="exact"/>
        <w:ind w:left="0" w:right="0" w:firstLine="640" w:firstLineChars="200"/>
        <w:jc w:val="left"/>
        <w:rPr>
          <w:rFonts w:hint="default" w:ascii="Calibri" w:hAnsi="Calibri" w:eastAsia="方正仿宋_GB2312" w:cs="Times New Roman"/>
          <w:kern w:val="2"/>
          <w:sz w:val="32"/>
          <w:szCs w:val="32"/>
        </w:rPr>
      </w:pPr>
      <w:r>
        <w:rPr>
          <w:rFonts w:hint="default" w:ascii="Calibri" w:hAnsi="Calibri" w:eastAsia="方正仿宋_GB2312" w:cs="Times New Roman"/>
          <w:kern w:val="2"/>
          <w:sz w:val="32"/>
          <w:szCs w:val="32"/>
          <w:lang w:val="en-US" w:eastAsia="zh-CN" w:bidi="ar"/>
        </w:rPr>
        <w:t xml:space="preserve"> </w:t>
      </w:r>
    </w:p>
    <w:p w14:paraId="1CBE2CF2">
      <w:pPr>
        <w:keepNext w:val="0"/>
        <w:keepLines w:val="0"/>
        <w:widowControl w:val="0"/>
        <w:suppressLineNumbers w:val="0"/>
        <w:spacing w:before="0" w:beforeAutospacing="0" w:after="0" w:afterAutospacing="0" w:line="576" w:lineRule="exact"/>
        <w:ind w:left="0" w:right="0" w:firstLine="640" w:firstLineChars="200"/>
        <w:jc w:val="center"/>
        <w:rPr>
          <w:rFonts w:hint="default" w:ascii="Calibri" w:hAnsi="Calibri" w:eastAsia="方正仿宋_GB2312" w:cs="Times New Roman"/>
          <w:color w:val="000000"/>
          <w:kern w:val="2"/>
          <w:sz w:val="32"/>
          <w:szCs w:val="32"/>
        </w:rPr>
      </w:pPr>
      <w:r>
        <w:rPr>
          <w:rFonts w:hint="default" w:ascii="Calibri" w:hAnsi="Calibri" w:eastAsia="方正仿宋_GB2312" w:cs="Times New Roman"/>
          <w:color w:val="000000"/>
          <w:kern w:val="2"/>
          <w:sz w:val="32"/>
          <w:szCs w:val="32"/>
          <w:lang w:val="en-US" w:eastAsia="zh-CN" w:bidi="ar"/>
        </w:rPr>
        <w:t xml:space="preserve"> </w:t>
      </w:r>
    </w:p>
    <w:p w14:paraId="0C049A57">
      <w:pPr>
        <w:keepNext w:val="0"/>
        <w:keepLines w:val="0"/>
        <w:widowControl w:val="0"/>
        <w:suppressLineNumbers w:val="0"/>
        <w:spacing w:before="0" w:beforeAutospacing="0" w:after="0" w:afterAutospacing="0" w:line="576" w:lineRule="exact"/>
        <w:ind w:left="0" w:right="0" w:firstLine="640" w:firstLineChars="200"/>
        <w:jc w:val="center"/>
        <w:rPr>
          <w:rFonts w:hint="default" w:ascii="Calibri" w:hAnsi="Calibri" w:eastAsia="方正仿宋_GB2312" w:cs="Times New Roman"/>
          <w:color w:val="000000"/>
          <w:kern w:val="2"/>
          <w:sz w:val="32"/>
          <w:szCs w:val="32"/>
        </w:rPr>
      </w:pPr>
      <w:r>
        <w:rPr>
          <w:rFonts w:hint="default" w:ascii="Calibri" w:hAnsi="Calibri" w:eastAsia="方正仿宋_GB2312" w:cs="Times New Roman"/>
          <w:color w:val="000000"/>
          <w:kern w:val="2"/>
          <w:sz w:val="32"/>
          <w:szCs w:val="32"/>
          <w:lang w:val="en-US" w:eastAsia="zh-CN" w:bidi="ar"/>
        </w:rPr>
        <w:t xml:space="preserve"> </w:t>
      </w:r>
    </w:p>
    <w:p w14:paraId="29DB124B">
      <w:pPr>
        <w:keepNext w:val="0"/>
        <w:keepLines w:val="0"/>
        <w:widowControl w:val="0"/>
        <w:suppressLineNumbers w:val="0"/>
        <w:spacing w:before="0" w:beforeAutospacing="0" w:after="0" w:afterAutospacing="0" w:line="576" w:lineRule="exact"/>
        <w:ind w:left="0" w:right="0" w:firstLine="640" w:firstLineChars="200"/>
        <w:jc w:val="center"/>
        <w:rPr>
          <w:rFonts w:hint="default" w:ascii="Calibri" w:hAnsi="Calibri" w:eastAsia="方正仿宋_GB2312" w:cs="Times New Roman"/>
          <w:color w:val="000000"/>
          <w:kern w:val="2"/>
          <w:sz w:val="32"/>
          <w:szCs w:val="32"/>
        </w:rPr>
      </w:pPr>
      <w:r>
        <w:rPr>
          <w:rFonts w:hint="default" w:ascii="Calibri" w:hAnsi="Calibri" w:eastAsia="方正仿宋_GB2312" w:cs="Times New Roman"/>
          <w:color w:val="000000"/>
          <w:kern w:val="2"/>
          <w:sz w:val="32"/>
          <w:szCs w:val="32"/>
          <w:lang w:val="en-US" w:eastAsia="zh-CN" w:bidi="ar"/>
        </w:rPr>
        <w:t xml:space="preserve"> </w:t>
      </w:r>
    </w:p>
    <w:p w14:paraId="5B7E3F9E">
      <w:pPr>
        <w:keepNext w:val="0"/>
        <w:keepLines w:val="0"/>
        <w:widowControl w:val="0"/>
        <w:suppressLineNumbers w:val="0"/>
        <w:spacing w:before="0" w:beforeAutospacing="0" w:after="0" w:afterAutospacing="0" w:line="576" w:lineRule="exact"/>
        <w:ind w:left="0" w:right="0" w:firstLine="640" w:firstLineChars="200"/>
        <w:jc w:val="center"/>
        <w:rPr>
          <w:rFonts w:hint="default" w:ascii="Calibri" w:hAnsi="Calibri" w:eastAsia="方正仿宋_GB2312" w:cs="Times New Roman"/>
          <w:color w:val="000000"/>
          <w:kern w:val="2"/>
          <w:sz w:val="32"/>
          <w:szCs w:val="32"/>
        </w:rPr>
      </w:pPr>
      <w:r>
        <w:rPr>
          <w:rFonts w:hint="default" w:ascii="Calibri" w:hAnsi="Calibri" w:eastAsia="方正仿宋_GB2312" w:cs="Times New Roman"/>
          <w:color w:val="000000"/>
          <w:kern w:val="2"/>
          <w:sz w:val="32"/>
          <w:szCs w:val="32"/>
          <w:lang w:val="en-US" w:eastAsia="zh-CN" w:bidi="ar"/>
        </w:rPr>
        <w:t xml:space="preserve"> </w:t>
      </w:r>
    </w:p>
    <w:p w14:paraId="0D8FBA49">
      <w:pPr>
        <w:keepNext w:val="0"/>
        <w:keepLines w:val="0"/>
        <w:widowControl w:val="0"/>
        <w:suppressLineNumbers w:val="0"/>
        <w:spacing w:before="0" w:beforeAutospacing="0" w:after="0" w:afterAutospacing="0" w:line="576" w:lineRule="exact"/>
        <w:ind w:left="0" w:right="0" w:firstLine="640" w:firstLineChars="200"/>
        <w:jc w:val="both"/>
        <w:rPr>
          <w:rFonts w:hint="default" w:ascii="Calibri" w:hAnsi="Calibri" w:eastAsia="方正仿宋_GB2312" w:cs="Times New Roman"/>
          <w:kern w:val="2"/>
          <w:sz w:val="32"/>
          <w:szCs w:val="32"/>
        </w:rPr>
      </w:pPr>
      <w:r>
        <w:rPr>
          <w:rFonts w:hint="default" w:ascii="Calibri" w:hAnsi="Calibri" w:eastAsia="方正仿宋_GB2312" w:cs="Times New Roman"/>
          <w:kern w:val="2"/>
          <w:sz w:val="32"/>
          <w:szCs w:val="32"/>
          <w:lang w:val="en-US" w:eastAsia="zh-CN" w:bidi="ar"/>
        </w:rPr>
        <w:t xml:space="preserve"> </w:t>
      </w:r>
    </w:p>
    <w:p w14:paraId="00199763">
      <w:pPr>
        <w:keepNext w:val="0"/>
        <w:keepLines w:val="0"/>
        <w:widowControl w:val="0"/>
        <w:suppressLineNumbers w:val="0"/>
        <w:spacing w:before="0" w:beforeAutospacing="0" w:after="0" w:afterAutospacing="0" w:line="576" w:lineRule="exact"/>
        <w:ind w:left="0" w:right="0" w:firstLine="640" w:firstLineChars="200"/>
        <w:jc w:val="both"/>
        <w:rPr>
          <w:rFonts w:hint="default" w:ascii="Calibri" w:hAnsi="Calibri" w:eastAsia="方正仿宋_GB2312" w:cs="Times New Roman"/>
          <w:kern w:val="2"/>
          <w:sz w:val="32"/>
          <w:szCs w:val="32"/>
        </w:rPr>
      </w:pPr>
      <w:r>
        <w:rPr>
          <w:rFonts w:hint="default" w:ascii="Calibri" w:hAnsi="Calibri" w:eastAsia="方正仿宋_GB2312" w:cs="Times New Roman"/>
          <w:kern w:val="2"/>
          <w:sz w:val="32"/>
          <w:szCs w:val="32"/>
          <w:lang w:val="en-US" w:eastAsia="zh-CN" w:bidi="ar"/>
        </w:rPr>
        <w:t xml:space="preserve"> </w:t>
      </w:r>
    </w:p>
    <w:p w14:paraId="570FC442">
      <w:pPr>
        <w:keepNext w:val="0"/>
        <w:keepLines w:val="0"/>
        <w:widowControl w:val="0"/>
        <w:suppressLineNumbers w:val="0"/>
        <w:spacing w:before="0" w:beforeAutospacing="0" w:after="0" w:afterAutospacing="0" w:line="576" w:lineRule="exact"/>
        <w:ind w:left="0" w:right="0" w:firstLine="640" w:firstLineChars="200"/>
        <w:jc w:val="both"/>
        <w:rPr>
          <w:rFonts w:hint="default" w:ascii="Calibri" w:hAnsi="Calibri" w:eastAsia="方正仿宋_GB2312" w:cs="Times New Roman"/>
          <w:kern w:val="2"/>
          <w:sz w:val="32"/>
          <w:szCs w:val="32"/>
        </w:rPr>
      </w:pPr>
      <w:r>
        <w:rPr>
          <w:rFonts w:hint="default" w:ascii="Calibri" w:hAnsi="Calibri" w:eastAsia="方正仿宋_GB2312" w:cs="Times New Roman"/>
          <w:kern w:val="2"/>
          <w:sz w:val="32"/>
          <w:szCs w:val="32"/>
          <w:lang w:val="en-US" w:eastAsia="zh-CN" w:bidi="ar"/>
        </w:rPr>
        <w:t xml:space="preserve"> </w:t>
      </w:r>
    </w:p>
    <w:p w14:paraId="726D4810">
      <w:pPr>
        <w:keepNext w:val="0"/>
        <w:keepLines w:val="0"/>
        <w:widowControl w:val="0"/>
        <w:suppressLineNumbers w:val="0"/>
        <w:spacing w:before="0" w:beforeAutospacing="0" w:after="0" w:afterAutospacing="0" w:line="576" w:lineRule="exact"/>
        <w:ind w:left="0" w:right="0" w:firstLine="640" w:firstLineChars="200"/>
        <w:jc w:val="both"/>
        <w:rPr>
          <w:rFonts w:hint="default" w:ascii="Calibri" w:hAnsi="Calibri" w:eastAsia="方正仿宋_GB2312" w:cs="Times New Roman"/>
          <w:kern w:val="2"/>
          <w:sz w:val="32"/>
          <w:szCs w:val="32"/>
        </w:rPr>
      </w:pPr>
      <w:r>
        <w:rPr>
          <w:rFonts w:hint="default" w:ascii="Calibri" w:hAnsi="Calibri" w:eastAsia="方正仿宋_GB2312" w:cs="Times New Roman"/>
          <w:kern w:val="2"/>
          <w:sz w:val="32"/>
          <w:szCs w:val="32"/>
          <w:lang w:val="en-US" w:eastAsia="zh-CN" w:bidi="ar"/>
        </w:rPr>
        <w:t xml:space="preserve"> </w:t>
      </w:r>
    </w:p>
    <w:p w14:paraId="4644EBD9">
      <w:pPr>
        <w:keepNext w:val="0"/>
        <w:keepLines w:val="0"/>
        <w:widowControl w:val="0"/>
        <w:suppressLineNumbers w:val="0"/>
        <w:spacing w:before="0" w:beforeAutospacing="0" w:after="0" w:afterAutospacing="0" w:line="576" w:lineRule="exact"/>
        <w:ind w:left="0" w:right="0" w:firstLine="640" w:firstLineChars="200"/>
        <w:jc w:val="both"/>
        <w:rPr>
          <w:rFonts w:hint="default" w:ascii="Calibri" w:hAnsi="Calibri" w:eastAsia="方正仿宋_GB2312" w:cs="Times New Roman"/>
          <w:kern w:val="2"/>
          <w:sz w:val="32"/>
          <w:szCs w:val="32"/>
        </w:rPr>
      </w:pPr>
      <w:r>
        <w:rPr>
          <w:rFonts w:hint="default" w:ascii="Calibri" w:hAnsi="Calibri" w:eastAsia="方正仿宋_GB2312" w:cs="Times New Roman"/>
          <w:kern w:val="2"/>
          <w:sz w:val="32"/>
          <w:szCs w:val="32"/>
          <w:lang w:val="en-US" w:eastAsia="zh-CN" w:bidi="ar"/>
        </w:rPr>
        <w:t xml:space="preserve"> </w:t>
      </w:r>
    </w:p>
    <w:p w14:paraId="733C5460">
      <w:pPr>
        <w:keepNext w:val="0"/>
        <w:keepLines w:val="0"/>
        <w:widowControl w:val="0"/>
        <w:suppressLineNumbers w:val="0"/>
        <w:spacing w:before="0" w:beforeAutospacing="0" w:after="0" w:afterAutospacing="0" w:line="576" w:lineRule="exact"/>
        <w:ind w:left="0" w:right="0" w:firstLine="640" w:firstLineChars="200"/>
        <w:jc w:val="both"/>
        <w:rPr>
          <w:rFonts w:hint="default" w:ascii="Calibri" w:hAnsi="Calibri" w:eastAsia="方正仿宋_GB2312" w:cs="Times New Roman"/>
          <w:kern w:val="2"/>
          <w:sz w:val="32"/>
          <w:szCs w:val="32"/>
        </w:rPr>
      </w:pPr>
      <w:r>
        <w:rPr>
          <w:rFonts w:hint="default" w:ascii="Calibri" w:hAnsi="Calibri" w:eastAsia="方正仿宋_GB2312" w:cs="Times New Roman"/>
          <w:kern w:val="2"/>
          <w:sz w:val="32"/>
          <w:szCs w:val="32"/>
          <w:lang w:val="en-US" w:eastAsia="zh-CN" w:bidi="ar"/>
        </w:rPr>
        <w:t xml:space="preserve"> </w:t>
      </w:r>
    </w:p>
    <w:p w14:paraId="10A00899">
      <w:pPr>
        <w:keepNext w:val="0"/>
        <w:keepLines w:val="0"/>
        <w:widowControl w:val="0"/>
        <w:suppressLineNumbers w:val="0"/>
        <w:spacing w:before="0" w:beforeAutospacing="0" w:after="0" w:afterAutospacing="0" w:line="576" w:lineRule="exact"/>
        <w:ind w:left="0" w:right="0" w:firstLine="640" w:firstLineChars="200"/>
        <w:jc w:val="both"/>
        <w:rPr>
          <w:rFonts w:hint="default" w:ascii="Calibri" w:hAnsi="Calibri" w:eastAsia="方正仿宋_GB2312" w:cs="Times New Roman"/>
          <w:kern w:val="2"/>
          <w:sz w:val="32"/>
          <w:szCs w:val="32"/>
        </w:rPr>
      </w:pPr>
      <w:r>
        <w:rPr>
          <w:rFonts w:hint="default" w:ascii="Calibri" w:hAnsi="Calibri" w:eastAsia="方正仿宋_GB2312" w:cs="Times New Roman"/>
          <w:kern w:val="2"/>
          <w:sz w:val="32"/>
          <w:szCs w:val="32"/>
          <w:lang w:val="en-US" w:eastAsia="zh-CN" w:bidi="ar"/>
        </w:rPr>
        <w:t xml:space="preserve"> </w:t>
      </w:r>
    </w:p>
    <w:p w14:paraId="6FA80E6A">
      <w:pPr>
        <w:keepNext w:val="0"/>
        <w:keepLines w:val="0"/>
        <w:widowControl w:val="0"/>
        <w:suppressLineNumbers w:val="0"/>
        <w:spacing w:before="0" w:beforeAutospacing="0" w:after="0" w:afterAutospacing="0" w:line="576" w:lineRule="exact"/>
        <w:ind w:left="0" w:right="0" w:firstLine="640" w:firstLineChars="200"/>
        <w:jc w:val="both"/>
        <w:rPr>
          <w:rFonts w:hint="default" w:ascii="Calibri" w:hAnsi="Calibri" w:eastAsia="方正仿宋_GB2312" w:cs="Times New Roman"/>
          <w:kern w:val="2"/>
          <w:sz w:val="32"/>
          <w:szCs w:val="32"/>
        </w:rPr>
      </w:pPr>
      <w:r>
        <w:rPr>
          <w:rFonts w:hint="default" w:ascii="Calibri" w:hAnsi="Calibri" w:eastAsia="方正仿宋_GB2312" w:cs="Times New Roman"/>
          <w:kern w:val="2"/>
          <w:sz w:val="32"/>
          <w:szCs w:val="32"/>
          <w:lang w:val="en-US" w:eastAsia="zh-CN" w:bidi="ar"/>
        </w:rPr>
        <w:t xml:space="preserve"> </w:t>
      </w:r>
    </w:p>
    <w:p w14:paraId="52296671">
      <w:pPr>
        <w:keepNext w:val="0"/>
        <w:keepLines w:val="0"/>
        <w:widowControl w:val="0"/>
        <w:suppressLineNumbers w:val="0"/>
        <w:tabs>
          <w:tab w:val="left" w:pos="789"/>
        </w:tabs>
        <w:spacing w:before="0" w:beforeAutospacing="0" w:after="0" w:afterAutospacing="0" w:line="576" w:lineRule="exact"/>
        <w:ind w:left="0" w:right="0" w:firstLine="640" w:firstLineChars="200"/>
        <w:jc w:val="left"/>
        <w:rPr>
          <w:rFonts w:hint="eastAsia" w:ascii="Calibri" w:hAnsi="Calibri" w:eastAsia="方正仿宋_GB2312" w:cs="Times New Roman"/>
          <w:kern w:val="2"/>
          <w:sz w:val="32"/>
          <w:szCs w:val="32"/>
        </w:rPr>
      </w:pPr>
      <w:r>
        <w:rPr>
          <w:rFonts w:hint="eastAsia" w:ascii="Calibri" w:hAnsi="Calibri" w:eastAsia="方正仿宋_GB2312" w:cs="Times New Roman"/>
          <w:kern w:val="2"/>
          <w:sz w:val="32"/>
          <w:szCs w:val="32"/>
          <w:lang w:val="en-US" w:eastAsia="zh-CN" w:bidi="ar"/>
        </w:rPr>
        <w:t xml:space="preserve"> </w:t>
      </w:r>
    </w:p>
    <w:p w14:paraId="404B55C7">
      <w:pPr>
        <w:rPr>
          <w:rFonts w:hint="eastAsia" w:ascii="Calibri" w:hAnsi="Calibri" w:eastAsia="方正仿宋_GB2312" w:cs="Times New Roman"/>
          <w:kern w:val="2"/>
          <w:sz w:val="32"/>
          <w:szCs w:val="32"/>
        </w:rPr>
        <w:sectPr>
          <w:pgSz w:w="11906" w:h="16838"/>
          <w:pgMar w:top="1440" w:right="1800" w:bottom="1440" w:left="1800" w:header="709" w:footer="1417" w:gutter="0"/>
          <w:pgNumType w:fmt="decimal"/>
          <w:cols w:space="720" w:num="1"/>
          <w:docGrid w:type="lines" w:linePitch="580" w:charSpace="0"/>
        </w:sectPr>
      </w:pPr>
    </w:p>
    <w:p w14:paraId="7B5E3C38">
      <w:pPr>
        <w:pStyle w:val="7"/>
        <w:keepNext w:val="0"/>
        <w:keepLines w:val="0"/>
        <w:widowControl/>
        <w:suppressLineNumbers w:val="0"/>
        <w:spacing w:before="120" w:beforeAutospacing="0" w:after="120" w:afterAutospacing="0" w:line="576" w:lineRule="exact"/>
        <w:ind w:left="0" w:leftChars="0" w:right="0" w:firstLine="0" w:firstLineChars="0"/>
        <w:jc w:val="both"/>
        <w:rPr>
          <w:rFonts w:hint="eastAsia" w:ascii="黑体" w:hAnsi="黑体" w:eastAsia="黑体" w:cs="黑体"/>
          <w:bCs w:val="0"/>
          <w:kern w:val="0"/>
          <w:sz w:val="32"/>
          <w:szCs w:val="32"/>
          <w:lang w:val="en-US" w:eastAsia="zh-CN" w:bidi="ar"/>
        </w:rPr>
      </w:pPr>
      <w:r>
        <w:rPr>
          <w:rFonts w:hint="eastAsia" w:ascii="黑体" w:hAnsi="黑体" w:eastAsia="黑体" w:cs="黑体"/>
          <w:bCs w:val="0"/>
          <w:kern w:val="0"/>
          <w:sz w:val="32"/>
          <w:szCs w:val="32"/>
          <w:lang w:val="en-US" w:eastAsia="zh-CN" w:bidi="ar"/>
        </w:rPr>
        <w:t>附件1.2</w:t>
      </w:r>
    </w:p>
    <w:p w14:paraId="255FD3BC">
      <w:pPr>
        <w:pStyle w:val="7"/>
        <w:keepNext w:val="0"/>
        <w:keepLines w:val="0"/>
        <w:widowControl/>
        <w:suppressLineNumbers w:val="0"/>
        <w:spacing w:before="120" w:beforeAutospacing="0" w:after="120" w:afterAutospacing="0" w:line="576" w:lineRule="exact"/>
        <w:ind w:left="0" w:leftChars="0" w:right="0" w:firstLine="0" w:firstLineChars="0"/>
        <w:jc w:val="center"/>
        <w:rPr>
          <w:rFonts w:hint="eastAsia" w:ascii="方正小标宋_GBK" w:hAnsi="方正小标宋_GBK" w:eastAsia="方正小标宋_GBK" w:cs="方正小标宋_GBK"/>
          <w:bCs w:val="0"/>
          <w:kern w:val="2"/>
          <w:sz w:val="32"/>
          <w:szCs w:val="32"/>
        </w:rPr>
      </w:pPr>
      <w:r>
        <w:rPr>
          <w:rFonts w:hint="eastAsia" w:ascii="方正小标宋_GBK" w:hAnsi="方正小标宋_GBK" w:eastAsia="方正小标宋_GBK" w:cs="方正小标宋_GBK"/>
          <w:bCs w:val="0"/>
          <w:kern w:val="0"/>
          <w:sz w:val="32"/>
          <w:szCs w:val="32"/>
          <w:lang w:val="en-US" w:eastAsia="zh-CN" w:bidi="ar"/>
        </w:rPr>
        <w:t>排气烟度限值</w:t>
      </w:r>
    </w:p>
    <w:tbl>
      <w:tblPr>
        <w:tblStyle w:val="8"/>
        <w:tblW w:w="5314" w:type="pct"/>
        <w:jc w:val="center"/>
        <w:tblBorders>
          <w:top w:val="single" w:color="474747" w:sz="8" w:space="0"/>
          <w:left w:val="none" w:color="auto" w:sz="6" w:space="0"/>
          <w:bottom w:val="single" w:color="474747" w:sz="8" w:space="0"/>
          <w:right w:val="none" w:color="auto" w:sz="6" w:space="0"/>
          <w:insideH w:val="single" w:color="474747" w:sz="8" w:space="0"/>
          <w:insideV w:val="outset" w:color="auto" w:sz="6" w:space="0"/>
        </w:tblBorders>
        <w:shd w:val="clear" w:color="auto" w:fill="auto"/>
        <w:tblLayout w:type="autofit"/>
        <w:tblCellMar>
          <w:top w:w="0" w:type="dxa"/>
          <w:left w:w="108" w:type="dxa"/>
          <w:bottom w:w="0" w:type="dxa"/>
          <w:right w:w="108" w:type="dxa"/>
        </w:tblCellMar>
      </w:tblPr>
      <w:tblGrid>
        <w:gridCol w:w="964"/>
        <w:gridCol w:w="3509"/>
        <w:gridCol w:w="185"/>
        <w:gridCol w:w="2288"/>
        <w:gridCol w:w="101"/>
        <w:gridCol w:w="2463"/>
      </w:tblGrid>
      <w:tr w14:paraId="14BC50B6">
        <w:trPr>
          <w:trHeight w:val="606" w:hRule="atLeast"/>
          <w:jc w:val="center"/>
        </w:trPr>
        <w:tc>
          <w:tcPr>
            <w:tcW w:w="507" w:type="pct"/>
            <w:tcBorders>
              <w:top w:val="single" w:color="474747" w:sz="8" w:space="0"/>
              <w:left w:val="nil"/>
              <w:bottom w:val="single" w:color="474747" w:sz="8" w:space="0"/>
              <w:right w:val="nil"/>
            </w:tcBorders>
            <w:shd w:val="clear" w:color="auto" w:fill="D9D9D9"/>
            <w:vAlign w:val="center"/>
          </w:tcPr>
          <w:p w14:paraId="0BF14FEE">
            <w:pPr>
              <w:keepNext w:val="0"/>
              <w:keepLines w:val="0"/>
              <w:widowControl/>
              <w:suppressLineNumbers w:val="0"/>
              <w:spacing w:before="0" w:beforeAutospacing="0" w:after="0" w:afterAutospacing="0" w:line="576" w:lineRule="exact"/>
              <w:ind w:left="0" w:leftChars="0" w:right="0" w:firstLine="0" w:firstLineChars="0"/>
              <w:jc w:val="left"/>
              <w:textAlignment w:val="center"/>
              <w:rPr>
                <w:rFonts w:hint="default" w:ascii="仿宋" w:hAnsi="仿宋" w:eastAsia="仿宋" w:cs="仿宋"/>
                <w:kern w:val="2"/>
                <w:sz w:val="30"/>
                <w:szCs w:val="30"/>
              </w:rPr>
            </w:pPr>
            <w:r>
              <w:rPr>
                <w:rFonts w:hint="default" w:ascii="仿宋" w:hAnsi="仿宋" w:eastAsia="仿宋" w:cs="仿宋"/>
                <w:kern w:val="0"/>
                <w:sz w:val="30"/>
                <w:szCs w:val="30"/>
                <w:lang w:val="en-US" w:eastAsia="zh-CN" w:bidi="ar"/>
              </w:rPr>
              <w:t>类别</w:t>
            </w:r>
          </w:p>
        </w:tc>
        <w:tc>
          <w:tcPr>
            <w:tcW w:w="1844" w:type="pct"/>
            <w:tcBorders>
              <w:top w:val="single" w:color="474747" w:sz="8" w:space="0"/>
              <w:left w:val="nil"/>
              <w:bottom w:val="single" w:color="474747" w:sz="8" w:space="0"/>
              <w:right w:val="nil"/>
            </w:tcBorders>
            <w:shd w:val="clear" w:color="auto" w:fill="D9D9D9"/>
            <w:vAlign w:val="center"/>
          </w:tcPr>
          <w:p w14:paraId="4FC1AEBB">
            <w:pPr>
              <w:keepNext w:val="0"/>
              <w:keepLines w:val="0"/>
              <w:widowControl/>
              <w:suppressLineNumbers w:val="0"/>
              <w:spacing w:before="0" w:beforeAutospacing="0" w:after="0" w:afterAutospacing="0" w:line="576" w:lineRule="exact"/>
              <w:ind w:left="0" w:leftChars="0" w:right="0" w:firstLine="0" w:firstLineChars="0"/>
              <w:jc w:val="left"/>
              <w:textAlignment w:val="center"/>
              <w:rPr>
                <w:rFonts w:hint="default" w:ascii="仿宋" w:hAnsi="仿宋" w:eastAsia="仿宋" w:cs="仿宋"/>
                <w:kern w:val="2"/>
                <w:sz w:val="30"/>
                <w:szCs w:val="30"/>
              </w:rPr>
            </w:pPr>
            <w:r>
              <w:rPr>
                <w:rFonts w:hint="default" w:ascii="仿宋" w:hAnsi="仿宋" w:eastAsia="仿宋" w:cs="仿宋"/>
                <w:kern w:val="0"/>
                <w:sz w:val="30"/>
                <w:szCs w:val="30"/>
                <w:lang w:val="en-US" w:eastAsia="zh-CN" w:bidi="ar"/>
              </w:rPr>
              <w:t>额定净功率（</w:t>
            </w:r>
            <w:r>
              <w:rPr>
                <w:rFonts w:hint="default" w:ascii="仿宋" w:hAnsi="仿宋" w:eastAsia="仿宋" w:cs="仿宋"/>
                <w:i/>
                <w:iCs/>
                <w:kern w:val="0"/>
                <w:sz w:val="30"/>
                <w:szCs w:val="30"/>
                <w:lang w:val="en-US" w:eastAsia="zh-CN" w:bidi="ar"/>
              </w:rPr>
              <w:t>Pmax</w:t>
            </w:r>
            <w:r>
              <w:rPr>
                <w:rFonts w:hint="default" w:ascii="仿宋" w:hAnsi="仿宋" w:eastAsia="仿宋" w:cs="仿宋"/>
                <w:kern w:val="0"/>
                <w:sz w:val="30"/>
                <w:szCs w:val="30"/>
                <w:lang w:val="en-US" w:eastAsia="zh-CN" w:bidi="ar"/>
              </w:rPr>
              <w:t>）/</w:t>
            </w:r>
            <w:r>
              <w:rPr>
                <w:rFonts w:hint="default" w:ascii="仿宋" w:hAnsi="仿宋" w:eastAsia="仿宋" w:cs="仿宋"/>
                <w:i/>
                <w:iCs/>
                <w:kern w:val="0"/>
                <w:sz w:val="30"/>
                <w:szCs w:val="30"/>
                <w:lang w:val="en-US" w:eastAsia="zh-CN" w:bidi="ar"/>
              </w:rPr>
              <w:t>k</w:t>
            </w:r>
            <w:r>
              <w:rPr>
                <w:rFonts w:hint="default" w:ascii="仿宋" w:hAnsi="仿宋" w:eastAsia="仿宋" w:cs="仿宋"/>
                <w:kern w:val="0"/>
                <w:sz w:val="30"/>
                <w:szCs w:val="30"/>
                <w:lang w:val="en-US" w:eastAsia="zh-CN" w:bidi="ar"/>
              </w:rPr>
              <w:t>w</w:t>
            </w:r>
          </w:p>
        </w:tc>
        <w:tc>
          <w:tcPr>
            <w:tcW w:w="1299" w:type="pct"/>
            <w:gridSpan w:val="2"/>
            <w:tcBorders>
              <w:top w:val="single" w:color="474747" w:sz="8" w:space="0"/>
              <w:left w:val="nil"/>
              <w:bottom w:val="single" w:color="474747" w:sz="8" w:space="0"/>
              <w:right w:val="nil"/>
            </w:tcBorders>
            <w:shd w:val="clear" w:color="auto" w:fill="D9D9D9"/>
            <w:vAlign w:val="center"/>
          </w:tcPr>
          <w:p w14:paraId="73D6F91F">
            <w:pPr>
              <w:keepNext w:val="0"/>
              <w:keepLines w:val="0"/>
              <w:widowControl/>
              <w:suppressLineNumbers w:val="0"/>
              <w:spacing w:before="0" w:beforeAutospacing="0" w:after="0" w:afterAutospacing="0" w:line="576" w:lineRule="exact"/>
              <w:ind w:left="0" w:leftChars="0" w:right="0" w:firstLine="0" w:firstLineChars="0"/>
              <w:jc w:val="left"/>
              <w:textAlignment w:val="center"/>
              <w:rPr>
                <w:rFonts w:hint="default" w:ascii="仿宋" w:hAnsi="仿宋" w:eastAsia="仿宋" w:cs="仿宋"/>
                <w:kern w:val="2"/>
                <w:sz w:val="30"/>
                <w:szCs w:val="30"/>
              </w:rPr>
            </w:pPr>
            <w:r>
              <w:rPr>
                <w:rFonts w:hint="default" w:ascii="仿宋" w:hAnsi="仿宋" w:eastAsia="仿宋" w:cs="仿宋"/>
                <w:kern w:val="0"/>
                <w:sz w:val="30"/>
                <w:szCs w:val="30"/>
                <w:lang w:val="en-US" w:eastAsia="zh-CN" w:bidi="ar"/>
              </w:rPr>
              <w:t>光吸收系数/m</w:t>
            </w:r>
            <w:r>
              <w:rPr>
                <w:rFonts w:hint="default" w:ascii="仿宋" w:hAnsi="仿宋" w:eastAsia="仿宋" w:cs="仿宋"/>
                <w:kern w:val="0"/>
                <w:sz w:val="30"/>
                <w:szCs w:val="30"/>
                <w:vertAlign w:val="superscript"/>
                <w:lang w:val="en-US" w:eastAsia="zh-CN" w:bidi="ar"/>
              </w:rPr>
              <w:t>−1</w:t>
            </w:r>
          </w:p>
        </w:tc>
        <w:tc>
          <w:tcPr>
            <w:tcW w:w="1347" w:type="pct"/>
            <w:gridSpan w:val="2"/>
            <w:tcBorders>
              <w:top w:val="single" w:color="474747" w:sz="8" w:space="0"/>
              <w:left w:val="nil"/>
              <w:bottom w:val="single" w:color="474747" w:sz="8" w:space="0"/>
              <w:right w:val="nil"/>
            </w:tcBorders>
            <w:shd w:val="clear" w:color="auto" w:fill="D9D9D9"/>
            <w:vAlign w:val="center"/>
          </w:tcPr>
          <w:p w14:paraId="4F820C64">
            <w:pPr>
              <w:keepNext w:val="0"/>
              <w:keepLines w:val="0"/>
              <w:widowControl/>
              <w:suppressLineNumbers w:val="0"/>
              <w:spacing w:before="0" w:beforeAutospacing="0" w:after="0" w:afterAutospacing="0" w:line="576" w:lineRule="exact"/>
              <w:ind w:left="0" w:leftChars="0" w:right="0" w:firstLine="0" w:firstLineChars="0"/>
              <w:jc w:val="left"/>
              <w:textAlignment w:val="center"/>
              <w:rPr>
                <w:rFonts w:hint="default" w:ascii="仿宋" w:hAnsi="仿宋" w:eastAsia="仿宋" w:cs="仿宋"/>
                <w:kern w:val="2"/>
                <w:sz w:val="30"/>
                <w:szCs w:val="30"/>
              </w:rPr>
            </w:pPr>
            <w:r>
              <w:rPr>
                <w:rFonts w:hint="default" w:ascii="仿宋" w:hAnsi="仿宋" w:eastAsia="仿宋" w:cs="仿宋"/>
                <w:kern w:val="0"/>
                <w:sz w:val="30"/>
                <w:szCs w:val="30"/>
                <w:lang w:val="en-US" w:eastAsia="zh-CN" w:bidi="ar"/>
              </w:rPr>
              <w:t>林格曼黑度级数</w:t>
            </w:r>
          </w:p>
        </w:tc>
      </w:tr>
      <w:tr w14:paraId="7DE5BE69">
        <w:trPr>
          <w:trHeight w:val="606" w:hRule="atLeast"/>
          <w:jc w:val="center"/>
        </w:trPr>
        <w:tc>
          <w:tcPr>
            <w:tcW w:w="507" w:type="pct"/>
            <w:vMerge w:val="restart"/>
            <w:tcBorders>
              <w:top w:val="nil"/>
              <w:left w:val="nil"/>
              <w:bottom w:val="single" w:color="474747" w:sz="8" w:space="0"/>
              <w:right w:val="nil"/>
            </w:tcBorders>
            <w:shd w:val="clear" w:color="auto" w:fill="FFFFFF"/>
            <w:vAlign w:val="center"/>
          </w:tcPr>
          <w:p w14:paraId="222DCEC9">
            <w:pPr>
              <w:keepNext w:val="0"/>
              <w:keepLines w:val="0"/>
              <w:widowControl/>
              <w:suppressLineNumbers w:val="0"/>
              <w:spacing w:before="0" w:beforeAutospacing="0" w:after="0" w:afterAutospacing="0" w:line="576" w:lineRule="exact"/>
              <w:ind w:left="0" w:leftChars="0" w:right="0" w:firstLine="0" w:firstLineChars="0"/>
              <w:jc w:val="left"/>
              <w:textAlignment w:val="center"/>
              <w:rPr>
                <w:rFonts w:hint="eastAsia" w:ascii="方正仿宋_GB2312" w:hAnsi="方正仿宋_GB2312" w:eastAsia="方正仿宋_GB2312" w:cs="方正仿宋_GB2312"/>
                <w:kern w:val="2"/>
                <w:sz w:val="32"/>
                <w:szCs w:val="32"/>
              </w:rPr>
            </w:pPr>
            <w:r>
              <w:rPr>
                <w:rFonts w:hint="eastAsia" w:ascii="方正仿宋_GB2312" w:hAnsi="方正仿宋_GB2312" w:eastAsia="方正仿宋_GB2312" w:cs="方正仿宋_GB2312"/>
                <w:kern w:val="0"/>
                <w:sz w:val="32"/>
                <w:szCs w:val="32"/>
                <w:lang w:val="en-US" w:eastAsia="zh-CN" w:bidi="ar"/>
              </w:rPr>
              <w:t>Ⅰ类</w:t>
            </w:r>
          </w:p>
        </w:tc>
        <w:tc>
          <w:tcPr>
            <w:tcW w:w="1941" w:type="pct"/>
            <w:gridSpan w:val="2"/>
            <w:tcBorders>
              <w:top w:val="single" w:color="474747" w:sz="8" w:space="0"/>
              <w:left w:val="nil"/>
              <w:bottom w:val="single" w:color="474747" w:sz="8" w:space="0"/>
              <w:right w:val="nil"/>
            </w:tcBorders>
            <w:shd w:val="clear" w:color="auto" w:fill="FFFFFF"/>
            <w:vAlign w:val="center"/>
          </w:tcPr>
          <w:p w14:paraId="5D513CCD">
            <w:pPr>
              <w:keepNext w:val="0"/>
              <w:keepLines w:val="0"/>
              <w:widowControl/>
              <w:suppressLineNumbers w:val="0"/>
              <w:spacing w:before="0" w:beforeAutospacing="0" w:after="0" w:afterAutospacing="0" w:line="576" w:lineRule="exact"/>
              <w:ind w:left="0" w:right="0" w:firstLine="640" w:firstLineChars="200"/>
              <w:jc w:val="left"/>
              <w:textAlignment w:val="center"/>
              <w:rPr>
                <w:rFonts w:hint="eastAsia" w:ascii="方正仿宋_GB2312" w:hAnsi="方正仿宋_GB2312" w:eastAsia="方正仿宋_GB2312" w:cs="方正仿宋_GB2312"/>
                <w:i/>
                <w:iCs/>
                <w:kern w:val="2"/>
                <w:sz w:val="32"/>
                <w:szCs w:val="32"/>
              </w:rPr>
            </w:pPr>
            <w:r>
              <w:rPr>
                <w:rFonts w:hint="eastAsia" w:ascii="方正仿宋_GB2312" w:hAnsi="方正仿宋_GB2312" w:eastAsia="方正仿宋_GB2312" w:cs="方正仿宋_GB2312"/>
                <w:i/>
                <w:iCs/>
                <w:kern w:val="0"/>
                <w:sz w:val="32"/>
                <w:szCs w:val="32"/>
                <w:lang w:val="en-US" w:eastAsia="zh-CN" w:bidi="ar"/>
              </w:rPr>
              <w:t>Pmax&lt;19</w:t>
            </w:r>
          </w:p>
        </w:tc>
        <w:tc>
          <w:tcPr>
            <w:tcW w:w="1255" w:type="pct"/>
            <w:gridSpan w:val="2"/>
            <w:tcBorders>
              <w:top w:val="single" w:color="474747" w:sz="8" w:space="0"/>
              <w:left w:val="nil"/>
              <w:bottom w:val="single" w:color="474747" w:sz="8" w:space="0"/>
              <w:right w:val="nil"/>
            </w:tcBorders>
            <w:shd w:val="clear" w:color="auto" w:fill="FFFFFF"/>
            <w:vAlign w:val="center"/>
          </w:tcPr>
          <w:p w14:paraId="4FD5CAFA">
            <w:pPr>
              <w:keepNext w:val="0"/>
              <w:keepLines w:val="0"/>
              <w:widowControl/>
              <w:suppressLineNumbers w:val="0"/>
              <w:spacing w:before="0" w:beforeAutospacing="0" w:after="0" w:afterAutospacing="0" w:line="576" w:lineRule="exact"/>
              <w:ind w:left="0" w:right="0" w:firstLine="640" w:firstLineChars="200"/>
              <w:jc w:val="center"/>
              <w:textAlignment w:val="center"/>
              <w:rPr>
                <w:rFonts w:hint="eastAsia" w:ascii="方正仿宋_GB2312" w:hAnsi="方正仿宋_GB2312" w:eastAsia="方正仿宋_GB2312" w:cs="方正仿宋_GB2312"/>
                <w:kern w:val="2"/>
                <w:sz w:val="32"/>
                <w:szCs w:val="32"/>
              </w:rPr>
            </w:pPr>
            <w:r>
              <w:rPr>
                <w:rFonts w:hint="eastAsia" w:ascii="方正仿宋_GB2312" w:hAnsi="方正仿宋_GB2312" w:eastAsia="方正仿宋_GB2312" w:cs="方正仿宋_GB2312"/>
                <w:kern w:val="0"/>
                <w:sz w:val="32"/>
                <w:szCs w:val="32"/>
                <w:lang w:val="en-US" w:eastAsia="zh-CN" w:bidi="ar"/>
              </w:rPr>
              <w:t>3.00</w:t>
            </w:r>
          </w:p>
        </w:tc>
        <w:tc>
          <w:tcPr>
            <w:tcW w:w="1293" w:type="pct"/>
            <w:vMerge w:val="restart"/>
            <w:tcBorders>
              <w:top w:val="nil"/>
              <w:left w:val="nil"/>
              <w:bottom w:val="single" w:color="474747" w:sz="8" w:space="0"/>
              <w:right w:val="nil"/>
            </w:tcBorders>
            <w:shd w:val="clear" w:color="auto" w:fill="FFFFFF"/>
            <w:vAlign w:val="center"/>
          </w:tcPr>
          <w:p w14:paraId="5AAEA4E1">
            <w:pPr>
              <w:keepNext w:val="0"/>
              <w:keepLines w:val="0"/>
              <w:widowControl/>
              <w:suppressLineNumbers w:val="0"/>
              <w:spacing w:before="0" w:beforeAutospacing="0" w:after="0" w:afterAutospacing="0" w:line="576" w:lineRule="exact"/>
              <w:ind w:left="0" w:right="0" w:firstLine="640" w:firstLineChars="200"/>
              <w:jc w:val="center"/>
              <w:textAlignment w:val="center"/>
              <w:rPr>
                <w:rFonts w:hint="eastAsia" w:ascii="方正仿宋_GB2312" w:hAnsi="方正仿宋_GB2312" w:eastAsia="方正仿宋_GB2312" w:cs="方正仿宋_GB2312"/>
                <w:kern w:val="2"/>
                <w:sz w:val="32"/>
                <w:szCs w:val="32"/>
              </w:rPr>
            </w:pPr>
            <w:r>
              <w:rPr>
                <w:rFonts w:hint="eastAsia" w:ascii="方正仿宋_GB2312" w:hAnsi="方正仿宋_GB2312" w:eastAsia="方正仿宋_GB2312" w:cs="方正仿宋_GB2312"/>
                <w:kern w:val="0"/>
                <w:sz w:val="32"/>
                <w:szCs w:val="32"/>
                <w:lang w:val="en-US" w:eastAsia="zh-CN" w:bidi="ar"/>
              </w:rPr>
              <w:t>Ⅰ</w:t>
            </w:r>
          </w:p>
        </w:tc>
      </w:tr>
      <w:tr w14:paraId="2F0EF663">
        <w:trPr>
          <w:trHeight w:val="606" w:hRule="atLeast"/>
          <w:jc w:val="center"/>
        </w:trPr>
        <w:tc>
          <w:tcPr>
            <w:tcW w:w="507" w:type="pct"/>
            <w:vMerge w:val="continue"/>
            <w:tcBorders>
              <w:top w:val="nil"/>
              <w:left w:val="nil"/>
              <w:bottom w:val="single" w:color="474747" w:sz="8" w:space="0"/>
              <w:right w:val="nil"/>
            </w:tcBorders>
            <w:shd w:val="clear" w:color="auto" w:fill="FFFFFF"/>
            <w:vAlign w:val="center"/>
          </w:tcPr>
          <w:p w14:paraId="68A4AC95">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941" w:type="pct"/>
            <w:gridSpan w:val="2"/>
            <w:tcBorders>
              <w:top w:val="single" w:color="474747" w:sz="8" w:space="0"/>
              <w:left w:val="nil"/>
              <w:bottom w:val="single" w:color="474747" w:sz="8" w:space="0"/>
              <w:right w:val="nil"/>
            </w:tcBorders>
            <w:shd w:val="clear" w:color="auto" w:fill="FFFFFF"/>
            <w:vAlign w:val="center"/>
          </w:tcPr>
          <w:p w14:paraId="5F7AA204">
            <w:pPr>
              <w:keepNext w:val="0"/>
              <w:keepLines w:val="0"/>
              <w:widowControl/>
              <w:suppressLineNumbers w:val="0"/>
              <w:spacing w:before="0" w:beforeAutospacing="0" w:after="0" w:afterAutospacing="0" w:line="576" w:lineRule="exact"/>
              <w:ind w:left="0" w:right="0" w:firstLine="640" w:firstLineChars="200"/>
              <w:jc w:val="left"/>
              <w:textAlignment w:val="center"/>
              <w:rPr>
                <w:rFonts w:hint="eastAsia" w:ascii="方正仿宋_GB2312" w:hAnsi="方正仿宋_GB2312" w:eastAsia="方正仿宋_GB2312" w:cs="方正仿宋_GB2312"/>
                <w:kern w:val="2"/>
                <w:sz w:val="32"/>
                <w:szCs w:val="32"/>
              </w:rPr>
            </w:pPr>
            <w:r>
              <w:rPr>
                <w:rFonts w:hint="eastAsia" w:ascii="方正仿宋_GB2312" w:hAnsi="方正仿宋_GB2312" w:eastAsia="方正仿宋_GB2312" w:cs="方正仿宋_GB2312"/>
                <w:kern w:val="0"/>
                <w:sz w:val="32"/>
                <w:szCs w:val="32"/>
                <w:lang w:val="en-US" w:eastAsia="zh-CN" w:bidi="ar"/>
              </w:rPr>
              <w:t>19≤</w:t>
            </w:r>
            <w:r>
              <w:rPr>
                <w:rFonts w:hint="eastAsia" w:ascii="方正仿宋_GB2312" w:hAnsi="方正仿宋_GB2312" w:eastAsia="方正仿宋_GB2312" w:cs="方正仿宋_GB2312"/>
                <w:i/>
                <w:iCs/>
                <w:kern w:val="0"/>
                <w:sz w:val="32"/>
                <w:szCs w:val="32"/>
                <w:lang w:val="en-US" w:eastAsia="zh-CN" w:bidi="ar"/>
              </w:rPr>
              <w:t>Pmax&lt;</w:t>
            </w:r>
            <w:r>
              <w:rPr>
                <w:rFonts w:hint="eastAsia" w:ascii="方正仿宋_GB2312" w:hAnsi="方正仿宋_GB2312" w:eastAsia="方正仿宋_GB2312" w:cs="方正仿宋_GB2312"/>
                <w:kern w:val="0"/>
                <w:sz w:val="32"/>
                <w:szCs w:val="32"/>
                <w:lang w:val="en-US" w:eastAsia="zh-CN" w:bidi="ar"/>
              </w:rPr>
              <w:t>37</w:t>
            </w:r>
          </w:p>
        </w:tc>
        <w:tc>
          <w:tcPr>
            <w:tcW w:w="1255" w:type="pct"/>
            <w:gridSpan w:val="2"/>
            <w:tcBorders>
              <w:top w:val="single" w:color="474747" w:sz="8" w:space="0"/>
              <w:left w:val="nil"/>
              <w:bottom w:val="single" w:color="474747" w:sz="8" w:space="0"/>
              <w:right w:val="nil"/>
            </w:tcBorders>
            <w:shd w:val="clear" w:color="auto" w:fill="FFFFFF"/>
            <w:vAlign w:val="center"/>
          </w:tcPr>
          <w:p w14:paraId="3C0E6FE0">
            <w:pPr>
              <w:keepNext w:val="0"/>
              <w:keepLines w:val="0"/>
              <w:widowControl/>
              <w:suppressLineNumbers w:val="0"/>
              <w:spacing w:before="0" w:beforeAutospacing="0" w:after="0" w:afterAutospacing="0" w:line="576" w:lineRule="exact"/>
              <w:ind w:left="0" w:right="0" w:firstLine="640" w:firstLineChars="200"/>
              <w:jc w:val="center"/>
              <w:textAlignment w:val="center"/>
              <w:rPr>
                <w:rFonts w:hint="eastAsia" w:ascii="方正仿宋_GB2312" w:hAnsi="方正仿宋_GB2312" w:eastAsia="方正仿宋_GB2312" w:cs="方正仿宋_GB2312"/>
                <w:kern w:val="2"/>
                <w:sz w:val="32"/>
                <w:szCs w:val="32"/>
              </w:rPr>
            </w:pPr>
            <w:r>
              <w:rPr>
                <w:rFonts w:hint="eastAsia" w:ascii="方正仿宋_GB2312" w:hAnsi="方正仿宋_GB2312" w:eastAsia="方正仿宋_GB2312" w:cs="方正仿宋_GB2312"/>
                <w:kern w:val="0"/>
                <w:sz w:val="32"/>
                <w:szCs w:val="32"/>
                <w:lang w:val="en-US" w:eastAsia="zh-CN" w:bidi="ar"/>
              </w:rPr>
              <w:t>2.00</w:t>
            </w:r>
          </w:p>
        </w:tc>
        <w:tc>
          <w:tcPr>
            <w:tcW w:w="1293" w:type="pct"/>
            <w:vMerge w:val="continue"/>
            <w:tcBorders>
              <w:top w:val="nil"/>
              <w:left w:val="nil"/>
              <w:bottom w:val="single" w:color="474747" w:sz="8" w:space="0"/>
              <w:right w:val="nil"/>
            </w:tcBorders>
            <w:shd w:val="clear" w:color="auto" w:fill="FFFFFF"/>
            <w:vAlign w:val="center"/>
          </w:tcPr>
          <w:p w14:paraId="040481B8">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r>
      <w:tr w14:paraId="0DEAF20E">
        <w:trPr>
          <w:trHeight w:val="606" w:hRule="atLeast"/>
          <w:jc w:val="center"/>
        </w:trPr>
        <w:tc>
          <w:tcPr>
            <w:tcW w:w="507" w:type="pct"/>
            <w:vMerge w:val="continue"/>
            <w:tcBorders>
              <w:top w:val="nil"/>
              <w:left w:val="nil"/>
              <w:bottom w:val="single" w:color="474747" w:sz="8" w:space="0"/>
              <w:right w:val="nil"/>
            </w:tcBorders>
            <w:shd w:val="clear" w:color="auto" w:fill="FFFFFF"/>
            <w:vAlign w:val="center"/>
          </w:tcPr>
          <w:p w14:paraId="74A0A591">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941" w:type="pct"/>
            <w:gridSpan w:val="2"/>
            <w:tcBorders>
              <w:top w:val="single" w:color="474747" w:sz="8" w:space="0"/>
              <w:left w:val="nil"/>
              <w:bottom w:val="single" w:color="474747" w:sz="8" w:space="0"/>
              <w:right w:val="nil"/>
            </w:tcBorders>
            <w:shd w:val="clear" w:color="auto" w:fill="FFFFFF"/>
            <w:vAlign w:val="center"/>
          </w:tcPr>
          <w:p w14:paraId="67139699">
            <w:pPr>
              <w:keepNext w:val="0"/>
              <w:keepLines w:val="0"/>
              <w:widowControl/>
              <w:suppressLineNumbers w:val="0"/>
              <w:spacing w:before="0" w:beforeAutospacing="0" w:after="0" w:afterAutospacing="0" w:line="576" w:lineRule="exact"/>
              <w:ind w:left="0" w:right="0" w:firstLine="640" w:firstLineChars="200"/>
              <w:jc w:val="left"/>
              <w:textAlignment w:val="center"/>
              <w:rPr>
                <w:rFonts w:hint="eastAsia" w:ascii="方正仿宋_GB2312" w:hAnsi="方正仿宋_GB2312" w:eastAsia="方正仿宋_GB2312" w:cs="方正仿宋_GB2312"/>
                <w:kern w:val="2"/>
                <w:sz w:val="32"/>
                <w:szCs w:val="32"/>
              </w:rPr>
            </w:pPr>
            <w:r>
              <w:rPr>
                <w:rFonts w:hint="eastAsia" w:ascii="方正仿宋_GB2312" w:hAnsi="方正仿宋_GB2312" w:eastAsia="方正仿宋_GB2312" w:cs="方正仿宋_GB2312"/>
                <w:kern w:val="0"/>
                <w:sz w:val="32"/>
                <w:szCs w:val="32"/>
                <w:lang w:val="en-US" w:eastAsia="zh-CN" w:bidi="ar"/>
              </w:rPr>
              <w:t>37≤</w:t>
            </w:r>
            <w:r>
              <w:rPr>
                <w:rFonts w:hint="eastAsia" w:ascii="方正仿宋_GB2312" w:hAnsi="方正仿宋_GB2312" w:eastAsia="方正仿宋_GB2312" w:cs="方正仿宋_GB2312"/>
                <w:i/>
                <w:iCs/>
                <w:kern w:val="0"/>
                <w:sz w:val="32"/>
                <w:szCs w:val="32"/>
                <w:lang w:val="en-US" w:eastAsia="zh-CN" w:bidi="ar"/>
              </w:rPr>
              <w:t>Pmax</w:t>
            </w:r>
            <w:r>
              <w:rPr>
                <w:rFonts w:hint="eastAsia" w:ascii="方正仿宋_GB2312" w:hAnsi="方正仿宋_GB2312" w:eastAsia="方正仿宋_GB2312" w:cs="方正仿宋_GB2312"/>
                <w:kern w:val="0"/>
                <w:sz w:val="32"/>
                <w:szCs w:val="32"/>
                <w:lang w:val="en-US" w:eastAsia="zh-CN" w:bidi="ar"/>
              </w:rPr>
              <w:t>≤560</w:t>
            </w:r>
          </w:p>
        </w:tc>
        <w:tc>
          <w:tcPr>
            <w:tcW w:w="1255" w:type="pct"/>
            <w:gridSpan w:val="2"/>
            <w:tcBorders>
              <w:top w:val="single" w:color="474747" w:sz="8" w:space="0"/>
              <w:left w:val="nil"/>
              <w:bottom w:val="single" w:color="474747" w:sz="8" w:space="0"/>
              <w:right w:val="nil"/>
            </w:tcBorders>
            <w:shd w:val="clear" w:color="auto" w:fill="FFFFFF"/>
            <w:vAlign w:val="center"/>
          </w:tcPr>
          <w:p w14:paraId="754ACCF4">
            <w:pPr>
              <w:keepNext w:val="0"/>
              <w:keepLines w:val="0"/>
              <w:widowControl/>
              <w:suppressLineNumbers w:val="0"/>
              <w:spacing w:before="0" w:beforeAutospacing="0" w:after="0" w:afterAutospacing="0" w:line="576" w:lineRule="exact"/>
              <w:ind w:left="0" w:right="0" w:firstLine="640" w:firstLineChars="200"/>
              <w:jc w:val="center"/>
              <w:textAlignment w:val="center"/>
              <w:rPr>
                <w:rFonts w:hint="eastAsia" w:ascii="方正仿宋_GB2312" w:hAnsi="方正仿宋_GB2312" w:eastAsia="方正仿宋_GB2312" w:cs="方正仿宋_GB2312"/>
                <w:kern w:val="2"/>
                <w:sz w:val="32"/>
                <w:szCs w:val="32"/>
              </w:rPr>
            </w:pPr>
            <w:r>
              <w:rPr>
                <w:rFonts w:hint="eastAsia" w:ascii="方正仿宋_GB2312" w:hAnsi="方正仿宋_GB2312" w:eastAsia="方正仿宋_GB2312" w:cs="方正仿宋_GB2312"/>
                <w:kern w:val="0"/>
                <w:sz w:val="32"/>
                <w:szCs w:val="32"/>
                <w:lang w:val="en-US" w:eastAsia="zh-CN" w:bidi="ar"/>
              </w:rPr>
              <w:t>1.61</w:t>
            </w:r>
          </w:p>
        </w:tc>
        <w:tc>
          <w:tcPr>
            <w:tcW w:w="1293" w:type="pct"/>
            <w:vMerge w:val="continue"/>
            <w:tcBorders>
              <w:top w:val="nil"/>
              <w:left w:val="nil"/>
              <w:bottom w:val="single" w:color="474747" w:sz="8" w:space="0"/>
              <w:right w:val="nil"/>
            </w:tcBorders>
            <w:shd w:val="clear" w:color="auto" w:fill="FFFFFF"/>
            <w:vAlign w:val="center"/>
          </w:tcPr>
          <w:p w14:paraId="51729D85">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r>
      <w:tr w14:paraId="4DBF0677">
        <w:trPr>
          <w:trHeight w:val="606" w:hRule="atLeast"/>
          <w:jc w:val="center"/>
        </w:trPr>
        <w:tc>
          <w:tcPr>
            <w:tcW w:w="507" w:type="pct"/>
            <w:vMerge w:val="restart"/>
            <w:tcBorders>
              <w:top w:val="nil"/>
              <w:left w:val="nil"/>
              <w:bottom w:val="single" w:color="474747" w:sz="8" w:space="0"/>
              <w:right w:val="nil"/>
            </w:tcBorders>
            <w:shd w:val="clear" w:color="auto" w:fill="FFFFFF"/>
            <w:vAlign w:val="center"/>
          </w:tcPr>
          <w:p w14:paraId="1F408BFD">
            <w:pPr>
              <w:keepNext w:val="0"/>
              <w:keepLines w:val="0"/>
              <w:widowControl/>
              <w:suppressLineNumbers w:val="0"/>
              <w:spacing w:before="0" w:beforeAutospacing="0" w:after="0" w:afterAutospacing="0" w:line="576" w:lineRule="exact"/>
              <w:ind w:left="0" w:leftChars="0" w:right="0" w:firstLine="0" w:firstLineChars="0"/>
              <w:jc w:val="left"/>
              <w:textAlignment w:val="center"/>
              <w:rPr>
                <w:rFonts w:hint="eastAsia" w:ascii="方正仿宋_GB2312" w:hAnsi="方正仿宋_GB2312" w:eastAsia="方正仿宋_GB2312" w:cs="方正仿宋_GB2312"/>
                <w:kern w:val="2"/>
                <w:sz w:val="32"/>
                <w:szCs w:val="32"/>
              </w:rPr>
            </w:pPr>
            <w:r>
              <w:rPr>
                <w:rFonts w:hint="eastAsia" w:ascii="方正仿宋_GB2312" w:hAnsi="方正仿宋_GB2312" w:eastAsia="方正仿宋_GB2312" w:cs="方正仿宋_GB2312"/>
                <w:kern w:val="0"/>
                <w:sz w:val="32"/>
                <w:szCs w:val="32"/>
                <w:lang w:val="en-US" w:eastAsia="zh-CN" w:bidi="ar"/>
              </w:rPr>
              <w:t>Ⅱ类</w:t>
            </w:r>
          </w:p>
        </w:tc>
        <w:tc>
          <w:tcPr>
            <w:tcW w:w="1941" w:type="pct"/>
            <w:gridSpan w:val="2"/>
            <w:tcBorders>
              <w:top w:val="single" w:color="474747" w:sz="8" w:space="0"/>
              <w:left w:val="nil"/>
              <w:bottom w:val="single" w:color="474747" w:sz="8" w:space="0"/>
              <w:right w:val="nil"/>
            </w:tcBorders>
            <w:shd w:val="clear" w:color="auto" w:fill="FFFFFF"/>
            <w:vAlign w:val="center"/>
          </w:tcPr>
          <w:p w14:paraId="568A8601">
            <w:pPr>
              <w:keepNext w:val="0"/>
              <w:keepLines w:val="0"/>
              <w:widowControl/>
              <w:suppressLineNumbers w:val="0"/>
              <w:spacing w:before="0" w:beforeAutospacing="0" w:after="0" w:afterAutospacing="0" w:line="576" w:lineRule="exact"/>
              <w:ind w:left="0" w:right="0" w:firstLine="640" w:firstLineChars="200"/>
              <w:jc w:val="left"/>
              <w:textAlignment w:val="center"/>
              <w:rPr>
                <w:rFonts w:hint="eastAsia" w:ascii="方正仿宋_GB2312" w:hAnsi="方正仿宋_GB2312" w:eastAsia="方正仿宋_GB2312" w:cs="方正仿宋_GB2312"/>
                <w:i/>
                <w:iCs/>
                <w:kern w:val="2"/>
                <w:sz w:val="32"/>
                <w:szCs w:val="32"/>
              </w:rPr>
            </w:pPr>
            <w:r>
              <w:rPr>
                <w:rFonts w:hint="eastAsia" w:ascii="方正仿宋_GB2312" w:hAnsi="方正仿宋_GB2312" w:eastAsia="方正仿宋_GB2312" w:cs="方正仿宋_GB2312"/>
                <w:i/>
                <w:iCs/>
                <w:kern w:val="0"/>
                <w:sz w:val="32"/>
                <w:szCs w:val="32"/>
                <w:lang w:val="en-US" w:eastAsia="zh-CN" w:bidi="ar"/>
              </w:rPr>
              <w:t>Pmax&lt;19</w:t>
            </w:r>
          </w:p>
        </w:tc>
        <w:tc>
          <w:tcPr>
            <w:tcW w:w="1255" w:type="pct"/>
            <w:gridSpan w:val="2"/>
            <w:tcBorders>
              <w:top w:val="single" w:color="474747" w:sz="8" w:space="0"/>
              <w:left w:val="nil"/>
              <w:bottom w:val="single" w:color="474747" w:sz="8" w:space="0"/>
              <w:right w:val="nil"/>
            </w:tcBorders>
            <w:shd w:val="clear" w:color="auto" w:fill="FFFFFF"/>
            <w:vAlign w:val="center"/>
          </w:tcPr>
          <w:p w14:paraId="10DDE21F">
            <w:pPr>
              <w:keepNext w:val="0"/>
              <w:keepLines w:val="0"/>
              <w:widowControl/>
              <w:suppressLineNumbers w:val="0"/>
              <w:spacing w:before="0" w:beforeAutospacing="0" w:after="0" w:afterAutospacing="0" w:line="576" w:lineRule="exact"/>
              <w:ind w:left="0" w:right="0" w:firstLine="640" w:firstLineChars="200"/>
              <w:jc w:val="center"/>
              <w:textAlignment w:val="center"/>
              <w:rPr>
                <w:rFonts w:hint="eastAsia" w:ascii="方正仿宋_GB2312" w:hAnsi="方正仿宋_GB2312" w:eastAsia="方正仿宋_GB2312" w:cs="方正仿宋_GB2312"/>
                <w:kern w:val="2"/>
                <w:sz w:val="32"/>
                <w:szCs w:val="32"/>
              </w:rPr>
            </w:pPr>
            <w:r>
              <w:rPr>
                <w:rFonts w:hint="eastAsia" w:ascii="方正仿宋_GB2312" w:hAnsi="方正仿宋_GB2312" w:eastAsia="方正仿宋_GB2312" w:cs="方正仿宋_GB2312"/>
                <w:kern w:val="0"/>
                <w:sz w:val="32"/>
                <w:szCs w:val="32"/>
                <w:lang w:val="en-US" w:eastAsia="zh-CN" w:bidi="ar"/>
              </w:rPr>
              <w:t>2.00</w:t>
            </w:r>
          </w:p>
        </w:tc>
        <w:tc>
          <w:tcPr>
            <w:tcW w:w="1293" w:type="pct"/>
            <w:vMerge w:val="restart"/>
            <w:tcBorders>
              <w:top w:val="nil"/>
              <w:left w:val="nil"/>
              <w:bottom w:val="single" w:color="474747" w:sz="8" w:space="0"/>
              <w:right w:val="nil"/>
            </w:tcBorders>
            <w:shd w:val="clear" w:color="auto" w:fill="FFFFFF"/>
            <w:vAlign w:val="center"/>
          </w:tcPr>
          <w:p w14:paraId="6905CE32">
            <w:pPr>
              <w:keepNext w:val="0"/>
              <w:keepLines w:val="0"/>
              <w:widowControl/>
              <w:suppressLineNumbers w:val="0"/>
              <w:spacing w:before="0" w:beforeAutospacing="0" w:after="0" w:afterAutospacing="0" w:line="576" w:lineRule="exact"/>
              <w:ind w:left="0" w:right="0" w:firstLine="640" w:firstLineChars="200"/>
              <w:jc w:val="center"/>
              <w:textAlignment w:val="center"/>
              <w:rPr>
                <w:rFonts w:hint="eastAsia" w:ascii="方正仿宋_GB2312" w:hAnsi="方正仿宋_GB2312" w:eastAsia="方正仿宋_GB2312" w:cs="方正仿宋_GB2312"/>
                <w:kern w:val="2"/>
                <w:sz w:val="32"/>
                <w:szCs w:val="32"/>
              </w:rPr>
            </w:pPr>
            <w:r>
              <w:rPr>
                <w:rFonts w:hint="eastAsia" w:ascii="方正仿宋_GB2312" w:hAnsi="方正仿宋_GB2312" w:eastAsia="方正仿宋_GB2312" w:cs="方正仿宋_GB2312"/>
                <w:kern w:val="0"/>
                <w:sz w:val="32"/>
                <w:szCs w:val="32"/>
                <w:lang w:val="en-US" w:eastAsia="zh-CN" w:bidi="ar"/>
              </w:rPr>
              <w:t>Ⅰ</w:t>
            </w:r>
          </w:p>
        </w:tc>
      </w:tr>
      <w:tr w14:paraId="372AC970">
        <w:trPr>
          <w:trHeight w:val="606" w:hRule="atLeast"/>
          <w:jc w:val="center"/>
        </w:trPr>
        <w:tc>
          <w:tcPr>
            <w:tcW w:w="507" w:type="pct"/>
            <w:vMerge w:val="continue"/>
            <w:tcBorders>
              <w:top w:val="nil"/>
              <w:left w:val="nil"/>
              <w:bottom w:val="single" w:color="474747" w:sz="8" w:space="0"/>
              <w:right w:val="nil"/>
            </w:tcBorders>
            <w:shd w:val="clear" w:color="auto" w:fill="FFFFFF"/>
            <w:vAlign w:val="center"/>
          </w:tcPr>
          <w:p w14:paraId="62DADA40">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941" w:type="pct"/>
            <w:gridSpan w:val="2"/>
            <w:tcBorders>
              <w:top w:val="single" w:color="474747" w:sz="8" w:space="0"/>
              <w:left w:val="nil"/>
              <w:bottom w:val="single" w:color="474747" w:sz="8" w:space="0"/>
              <w:right w:val="nil"/>
            </w:tcBorders>
            <w:shd w:val="clear" w:color="auto" w:fill="FFFFFF"/>
            <w:vAlign w:val="center"/>
          </w:tcPr>
          <w:p w14:paraId="44DEB286">
            <w:pPr>
              <w:keepNext w:val="0"/>
              <w:keepLines w:val="0"/>
              <w:widowControl/>
              <w:suppressLineNumbers w:val="0"/>
              <w:spacing w:before="0" w:beforeAutospacing="0" w:after="0" w:afterAutospacing="0" w:line="576" w:lineRule="exact"/>
              <w:ind w:left="0" w:right="0" w:firstLine="640" w:firstLineChars="200"/>
              <w:jc w:val="left"/>
              <w:textAlignment w:val="center"/>
              <w:rPr>
                <w:rFonts w:hint="eastAsia" w:ascii="方正仿宋_GB2312" w:hAnsi="方正仿宋_GB2312" w:eastAsia="方正仿宋_GB2312" w:cs="方正仿宋_GB2312"/>
                <w:kern w:val="2"/>
                <w:sz w:val="32"/>
                <w:szCs w:val="32"/>
              </w:rPr>
            </w:pPr>
            <w:r>
              <w:rPr>
                <w:rFonts w:hint="eastAsia" w:ascii="方正仿宋_GB2312" w:hAnsi="方正仿宋_GB2312" w:eastAsia="方正仿宋_GB2312" w:cs="方正仿宋_GB2312"/>
                <w:kern w:val="0"/>
                <w:sz w:val="32"/>
                <w:szCs w:val="32"/>
                <w:lang w:val="en-US" w:eastAsia="zh-CN" w:bidi="ar"/>
              </w:rPr>
              <w:t>19≤</w:t>
            </w:r>
            <w:r>
              <w:rPr>
                <w:rFonts w:hint="eastAsia" w:ascii="方正仿宋_GB2312" w:hAnsi="方正仿宋_GB2312" w:eastAsia="方正仿宋_GB2312" w:cs="方正仿宋_GB2312"/>
                <w:i/>
                <w:iCs/>
                <w:kern w:val="0"/>
                <w:sz w:val="32"/>
                <w:szCs w:val="32"/>
                <w:lang w:val="en-US" w:eastAsia="zh-CN" w:bidi="ar"/>
              </w:rPr>
              <w:t>Pmax&lt;</w:t>
            </w:r>
            <w:r>
              <w:rPr>
                <w:rFonts w:hint="eastAsia" w:ascii="方正仿宋_GB2312" w:hAnsi="方正仿宋_GB2312" w:eastAsia="方正仿宋_GB2312" w:cs="方正仿宋_GB2312"/>
                <w:kern w:val="0"/>
                <w:sz w:val="32"/>
                <w:szCs w:val="32"/>
                <w:lang w:val="en-US" w:eastAsia="zh-CN" w:bidi="ar"/>
              </w:rPr>
              <w:t>37</w:t>
            </w:r>
          </w:p>
        </w:tc>
        <w:tc>
          <w:tcPr>
            <w:tcW w:w="1255" w:type="pct"/>
            <w:gridSpan w:val="2"/>
            <w:tcBorders>
              <w:top w:val="single" w:color="474747" w:sz="8" w:space="0"/>
              <w:left w:val="nil"/>
              <w:bottom w:val="single" w:color="474747" w:sz="8" w:space="0"/>
              <w:right w:val="nil"/>
            </w:tcBorders>
            <w:shd w:val="clear" w:color="auto" w:fill="FFFFFF"/>
            <w:vAlign w:val="center"/>
          </w:tcPr>
          <w:p w14:paraId="11044053">
            <w:pPr>
              <w:keepNext w:val="0"/>
              <w:keepLines w:val="0"/>
              <w:widowControl/>
              <w:suppressLineNumbers w:val="0"/>
              <w:spacing w:before="0" w:beforeAutospacing="0" w:after="0" w:afterAutospacing="0" w:line="576" w:lineRule="exact"/>
              <w:ind w:left="0" w:right="0" w:firstLine="640" w:firstLineChars="200"/>
              <w:jc w:val="center"/>
              <w:textAlignment w:val="center"/>
              <w:rPr>
                <w:rFonts w:hint="eastAsia" w:ascii="方正仿宋_GB2312" w:hAnsi="方正仿宋_GB2312" w:eastAsia="方正仿宋_GB2312" w:cs="方正仿宋_GB2312"/>
                <w:kern w:val="2"/>
                <w:sz w:val="32"/>
                <w:szCs w:val="32"/>
              </w:rPr>
            </w:pPr>
            <w:r>
              <w:rPr>
                <w:rFonts w:hint="eastAsia" w:ascii="方正仿宋_GB2312" w:hAnsi="方正仿宋_GB2312" w:eastAsia="方正仿宋_GB2312" w:cs="方正仿宋_GB2312"/>
                <w:kern w:val="0"/>
                <w:sz w:val="32"/>
                <w:szCs w:val="32"/>
                <w:lang w:val="en-US" w:eastAsia="zh-CN" w:bidi="ar"/>
              </w:rPr>
              <w:t>1.00</w:t>
            </w:r>
          </w:p>
        </w:tc>
        <w:tc>
          <w:tcPr>
            <w:tcW w:w="1293" w:type="pct"/>
            <w:vMerge w:val="continue"/>
            <w:tcBorders>
              <w:top w:val="nil"/>
              <w:left w:val="nil"/>
              <w:bottom w:val="single" w:color="474747" w:sz="8" w:space="0"/>
              <w:right w:val="nil"/>
            </w:tcBorders>
            <w:shd w:val="clear" w:color="auto" w:fill="FFFFFF"/>
            <w:vAlign w:val="center"/>
          </w:tcPr>
          <w:p w14:paraId="6310F038">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r>
      <w:tr w14:paraId="1FD31439">
        <w:trPr>
          <w:trHeight w:val="606" w:hRule="atLeast"/>
          <w:jc w:val="center"/>
        </w:trPr>
        <w:tc>
          <w:tcPr>
            <w:tcW w:w="507" w:type="pct"/>
            <w:vMerge w:val="continue"/>
            <w:tcBorders>
              <w:top w:val="nil"/>
              <w:left w:val="nil"/>
              <w:bottom w:val="single" w:color="474747" w:sz="8" w:space="0"/>
              <w:right w:val="nil"/>
            </w:tcBorders>
            <w:shd w:val="clear" w:color="auto" w:fill="FFFFFF"/>
            <w:vAlign w:val="center"/>
          </w:tcPr>
          <w:p w14:paraId="3E549863">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941" w:type="pct"/>
            <w:gridSpan w:val="2"/>
            <w:tcBorders>
              <w:top w:val="single" w:color="474747" w:sz="8" w:space="0"/>
              <w:left w:val="nil"/>
              <w:bottom w:val="single" w:color="474747" w:sz="8" w:space="0"/>
              <w:right w:val="nil"/>
            </w:tcBorders>
            <w:shd w:val="clear" w:color="auto" w:fill="FFFFFF"/>
            <w:vAlign w:val="center"/>
          </w:tcPr>
          <w:p w14:paraId="38DD05FB">
            <w:pPr>
              <w:keepNext w:val="0"/>
              <w:keepLines w:val="0"/>
              <w:widowControl/>
              <w:suppressLineNumbers w:val="0"/>
              <w:spacing w:before="0" w:beforeAutospacing="0" w:after="0" w:afterAutospacing="0" w:line="576" w:lineRule="exact"/>
              <w:ind w:left="0" w:right="0" w:firstLine="640" w:firstLineChars="200"/>
              <w:jc w:val="left"/>
              <w:textAlignment w:val="center"/>
              <w:rPr>
                <w:rFonts w:hint="eastAsia" w:ascii="方正仿宋_GB2312" w:hAnsi="方正仿宋_GB2312" w:eastAsia="方正仿宋_GB2312" w:cs="方正仿宋_GB2312"/>
                <w:i/>
                <w:iCs/>
                <w:kern w:val="2"/>
                <w:sz w:val="32"/>
                <w:szCs w:val="32"/>
              </w:rPr>
            </w:pPr>
            <w:r>
              <w:rPr>
                <w:rFonts w:hint="eastAsia" w:ascii="方正仿宋_GB2312" w:hAnsi="方正仿宋_GB2312" w:eastAsia="方正仿宋_GB2312" w:cs="方正仿宋_GB2312"/>
                <w:i/>
                <w:iCs/>
                <w:kern w:val="0"/>
                <w:sz w:val="32"/>
                <w:szCs w:val="32"/>
                <w:lang w:val="en-US" w:eastAsia="zh-CN" w:bidi="ar"/>
              </w:rPr>
              <w:t>Pmax≥37</w:t>
            </w:r>
          </w:p>
        </w:tc>
        <w:tc>
          <w:tcPr>
            <w:tcW w:w="1255" w:type="pct"/>
            <w:gridSpan w:val="2"/>
            <w:tcBorders>
              <w:top w:val="single" w:color="474747" w:sz="8" w:space="0"/>
              <w:left w:val="nil"/>
              <w:bottom w:val="single" w:color="474747" w:sz="8" w:space="0"/>
              <w:right w:val="nil"/>
            </w:tcBorders>
            <w:shd w:val="clear" w:color="auto" w:fill="FFFFFF"/>
            <w:vAlign w:val="center"/>
          </w:tcPr>
          <w:p w14:paraId="30E7F762">
            <w:pPr>
              <w:keepNext w:val="0"/>
              <w:keepLines w:val="0"/>
              <w:widowControl/>
              <w:suppressLineNumbers w:val="0"/>
              <w:spacing w:before="0" w:beforeAutospacing="0" w:after="0" w:afterAutospacing="0" w:line="576" w:lineRule="exact"/>
              <w:ind w:left="0" w:right="0" w:firstLine="640" w:firstLineChars="200"/>
              <w:jc w:val="center"/>
              <w:textAlignment w:val="center"/>
              <w:rPr>
                <w:rFonts w:hint="eastAsia" w:ascii="方正仿宋_GB2312" w:hAnsi="方正仿宋_GB2312" w:eastAsia="方正仿宋_GB2312" w:cs="方正仿宋_GB2312"/>
                <w:kern w:val="2"/>
                <w:sz w:val="32"/>
                <w:szCs w:val="32"/>
              </w:rPr>
            </w:pPr>
            <w:r>
              <w:rPr>
                <w:rFonts w:hint="eastAsia" w:ascii="方正仿宋_GB2312" w:hAnsi="方正仿宋_GB2312" w:eastAsia="方正仿宋_GB2312" w:cs="方正仿宋_GB2312"/>
                <w:kern w:val="0"/>
                <w:sz w:val="32"/>
                <w:szCs w:val="32"/>
                <w:lang w:val="en-US" w:eastAsia="zh-CN" w:bidi="ar"/>
              </w:rPr>
              <w:t>0.80</w:t>
            </w:r>
          </w:p>
        </w:tc>
        <w:tc>
          <w:tcPr>
            <w:tcW w:w="1293" w:type="pct"/>
            <w:vMerge w:val="continue"/>
            <w:tcBorders>
              <w:top w:val="nil"/>
              <w:left w:val="nil"/>
              <w:bottom w:val="single" w:color="474747" w:sz="8" w:space="0"/>
              <w:right w:val="nil"/>
            </w:tcBorders>
            <w:shd w:val="clear" w:color="auto" w:fill="FFFFFF"/>
            <w:vAlign w:val="center"/>
          </w:tcPr>
          <w:p w14:paraId="6B0B57A2">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r>
      <w:tr w14:paraId="56B7EF8E">
        <w:trPr>
          <w:trHeight w:val="606" w:hRule="atLeast"/>
          <w:jc w:val="center"/>
        </w:trPr>
        <w:tc>
          <w:tcPr>
            <w:tcW w:w="507" w:type="pct"/>
            <w:vMerge w:val="restart"/>
            <w:tcBorders>
              <w:top w:val="nil"/>
              <w:left w:val="nil"/>
              <w:bottom w:val="single" w:color="474747" w:sz="8" w:space="0"/>
              <w:right w:val="nil"/>
            </w:tcBorders>
            <w:shd w:val="clear" w:color="auto" w:fill="FFFFFF"/>
            <w:vAlign w:val="center"/>
          </w:tcPr>
          <w:p w14:paraId="30B60F91">
            <w:pPr>
              <w:keepNext w:val="0"/>
              <w:keepLines w:val="0"/>
              <w:widowControl/>
              <w:suppressLineNumbers w:val="0"/>
              <w:spacing w:before="0" w:beforeAutospacing="0" w:after="0" w:afterAutospacing="0" w:line="576" w:lineRule="exact"/>
              <w:ind w:left="0" w:leftChars="0" w:right="0" w:firstLine="0" w:firstLineChars="0"/>
              <w:jc w:val="left"/>
              <w:textAlignment w:val="center"/>
              <w:rPr>
                <w:rFonts w:hint="eastAsia" w:ascii="方正仿宋_GB2312" w:hAnsi="方正仿宋_GB2312" w:eastAsia="方正仿宋_GB2312" w:cs="方正仿宋_GB2312"/>
                <w:kern w:val="2"/>
                <w:sz w:val="32"/>
                <w:szCs w:val="32"/>
              </w:rPr>
            </w:pPr>
            <w:r>
              <w:rPr>
                <w:rFonts w:hint="eastAsia" w:ascii="方正仿宋_GB2312" w:hAnsi="方正仿宋_GB2312" w:eastAsia="方正仿宋_GB2312" w:cs="方正仿宋_GB2312"/>
                <w:kern w:val="0"/>
                <w:sz w:val="32"/>
                <w:szCs w:val="32"/>
                <w:lang w:val="en-US" w:eastAsia="zh-CN" w:bidi="ar"/>
              </w:rPr>
              <w:t>Ⅲ类</w:t>
            </w:r>
          </w:p>
        </w:tc>
        <w:tc>
          <w:tcPr>
            <w:tcW w:w="1941" w:type="pct"/>
            <w:gridSpan w:val="2"/>
            <w:tcBorders>
              <w:top w:val="single" w:color="474747" w:sz="8" w:space="0"/>
              <w:left w:val="nil"/>
              <w:bottom w:val="single" w:color="474747" w:sz="8" w:space="0"/>
              <w:right w:val="nil"/>
            </w:tcBorders>
            <w:shd w:val="clear" w:color="auto" w:fill="FFFFFF"/>
            <w:vAlign w:val="center"/>
          </w:tcPr>
          <w:p w14:paraId="187FE0EA">
            <w:pPr>
              <w:keepNext w:val="0"/>
              <w:keepLines w:val="0"/>
              <w:widowControl/>
              <w:suppressLineNumbers w:val="0"/>
              <w:spacing w:before="0" w:beforeAutospacing="0" w:after="0" w:afterAutospacing="0" w:line="576" w:lineRule="exact"/>
              <w:ind w:left="0" w:right="0" w:firstLine="640" w:firstLineChars="200"/>
              <w:jc w:val="left"/>
              <w:textAlignment w:val="center"/>
              <w:rPr>
                <w:rFonts w:hint="eastAsia" w:ascii="方正仿宋_GB2312" w:hAnsi="方正仿宋_GB2312" w:eastAsia="方正仿宋_GB2312" w:cs="方正仿宋_GB2312"/>
                <w:i/>
                <w:iCs/>
                <w:kern w:val="2"/>
                <w:sz w:val="32"/>
                <w:szCs w:val="32"/>
              </w:rPr>
            </w:pPr>
            <w:r>
              <w:rPr>
                <w:rFonts w:hint="eastAsia" w:ascii="方正仿宋_GB2312" w:hAnsi="方正仿宋_GB2312" w:eastAsia="方正仿宋_GB2312" w:cs="方正仿宋_GB2312"/>
                <w:i/>
                <w:iCs/>
                <w:kern w:val="0"/>
                <w:sz w:val="32"/>
                <w:szCs w:val="32"/>
                <w:lang w:val="en-US" w:eastAsia="zh-CN" w:bidi="ar"/>
              </w:rPr>
              <w:t>Pmax≥37</w:t>
            </w:r>
          </w:p>
        </w:tc>
        <w:tc>
          <w:tcPr>
            <w:tcW w:w="1255" w:type="pct"/>
            <w:gridSpan w:val="2"/>
            <w:tcBorders>
              <w:top w:val="single" w:color="474747" w:sz="8" w:space="0"/>
              <w:left w:val="nil"/>
              <w:bottom w:val="single" w:color="474747" w:sz="8" w:space="0"/>
              <w:right w:val="nil"/>
            </w:tcBorders>
            <w:shd w:val="clear" w:color="auto" w:fill="FFFFFF"/>
            <w:vAlign w:val="center"/>
          </w:tcPr>
          <w:p w14:paraId="42E42EED">
            <w:pPr>
              <w:keepNext w:val="0"/>
              <w:keepLines w:val="0"/>
              <w:widowControl/>
              <w:suppressLineNumbers w:val="0"/>
              <w:spacing w:before="0" w:beforeAutospacing="0" w:after="0" w:afterAutospacing="0" w:line="576" w:lineRule="exact"/>
              <w:ind w:left="0" w:right="0" w:firstLine="640" w:firstLineChars="200"/>
              <w:jc w:val="center"/>
              <w:textAlignment w:val="center"/>
              <w:rPr>
                <w:rFonts w:hint="eastAsia" w:ascii="方正仿宋_GB2312" w:hAnsi="方正仿宋_GB2312" w:eastAsia="方正仿宋_GB2312" w:cs="方正仿宋_GB2312"/>
                <w:kern w:val="2"/>
                <w:sz w:val="32"/>
                <w:szCs w:val="32"/>
              </w:rPr>
            </w:pPr>
            <w:r>
              <w:rPr>
                <w:rFonts w:hint="eastAsia" w:ascii="方正仿宋_GB2312" w:hAnsi="方正仿宋_GB2312" w:eastAsia="方正仿宋_GB2312" w:cs="方正仿宋_GB2312"/>
                <w:kern w:val="0"/>
                <w:sz w:val="32"/>
                <w:szCs w:val="32"/>
                <w:lang w:val="en-US" w:eastAsia="zh-CN" w:bidi="ar"/>
              </w:rPr>
              <w:t>0.50</w:t>
            </w:r>
          </w:p>
        </w:tc>
        <w:tc>
          <w:tcPr>
            <w:tcW w:w="1293" w:type="pct"/>
            <w:vMerge w:val="restart"/>
            <w:tcBorders>
              <w:top w:val="nil"/>
              <w:left w:val="nil"/>
              <w:bottom w:val="single" w:color="474747" w:sz="8" w:space="0"/>
              <w:right w:val="nil"/>
            </w:tcBorders>
            <w:shd w:val="clear" w:color="auto" w:fill="FFFFFF"/>
            <w:vAlign w:val="center"/>
          </w:tcPr>
          <w:p w14:paraId="4053FA8C">
            <w:pPr>
              <w:keepNext w:val="0"/>
              <w:keepLines w:val="0"/>
              <w:widowControl/>
              <w:suppressLineNumbers w:val="0"/>
              <w:spacing w:before="0" w:beforeAutospacing="0" w:after="0" w:afterAutospacing="0" w:line="576" w:lineRule="exact"/>
              <w:ind w:left="0" w:right="0" w:firstLine="640" w:firstLineChars="200"/>
              <w:jc w:val="center"/>
              <w:textAlignment w:val="center"/>
              <w:rPr>
                <w:rFonts w:hint="eastAsia" w:ascii="方正仿宋_GB2312" w:hAnsi="方正仿宋_GB2312" w:eastAsia="方正仿宋_GB2312" w:cs="方正仿宋_GB2312"/>
                <w:kern w:val="2"/>
                <w:sz w:val="32"/>
                <w:szCs w:val="32"/>
              </w:rPr>
            </w:pPr>
            <w:r>
              <w:rPr>
                <w:rFonts w:hint="eastAsia" w:ascii="方正仿宋_GB2312" w:hAnsi="方正仿宋_GB2312" w:eastAsia="方正仿宋_GB2312" w:cs="方正仿宋_GB2312"/>
                <w:kern w:val="0"/>
                <w:sz w:val="32"/>
                <w:szCs w:val="32"/>
                <w:lang w:val="en-US" w:eastAsia="zh-CN" w:bidi="ar"/>
              </w:rPr>
              <w:t>Ⅰ</w:t>
            </w:r>
          </w:p>
        </w:tc>
      </w:tr>
      <w:tr w14:paraId="716C8C17">
        <w:trPr>
          <w:trHeight w:val="627" w:hRule="atLeast"/>
          <w:jc w:val="center"/>
        </w:trPr>
        <w:tc>
          <w:tcPr>
            <w:tcW w:w="507" w:type="pct"/>
            <w:vMerge w:val="continue"/>
            <w:tcBorders>
              <w:top w:val="nil"/>
              <w:left w:val="nil"/>
              <w:bottom w:val="single" w:color="474747" w:sz="8" w:space="0"/>
              <w:right w:val="nil"/>
            </w:tcBorders>
            <w:shd w:val="clear" w:color="auto" w:fill="FFFFFF"/>
            <w:vAlign w:val="center"/>
          </w:tcPr>
          <w:p w14:paraId="339E7224">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941" w:type="pct"/>
            <w:gridSpan w:val="2"/>
            <w:tcBorders>
              <w:top w:val="single" w:color="474747" w:sz="8" w:space="0"/>
              <w:left w:val="nil"/>
              <w:bottom w:val="single" w:color="474747" w:sz="8" w:space="0"/>
              <w:right w:val="nil"/>
            </w:tcBorders>
            <w:shd w:val="clear" w:color="auto" w:fill="FFFFFF"/>
            <w:vAlign w:val="center"/>
          </w:tcPr>
          <w:p w14:paraId="7B34F57A">
            <w:pPr>
              <w:keepNext w:val="0"/>
              <w:keepLines w:val="0"/>
              <w:widowControl/>
              <w:suppressLineNumbers w:val="0"/>
              <w:spacing w:before="0" w:beforeAutospacing="0" w:after="0" w:afterAutospacing="0" w:line="576" w:lineRule="exact"/>
              <w:ind w:left="0" w:right="0" w:firstLine="600" w:firstLineChars="200"/>
              <w:jc w:val="left"/>
              <w:textAlignment w:val="center"/>
              <w:rPr>
                <w:rFonts w:hint="eastAsia" w:ascii="方正仿宋_GB2312" w:hAnsi="方正仿宋_GB2312" w:eastAsia="方正仿宋_GB2312" w:cs="方正仿宋_GB2312"/>
                <w:i/>
                <w:iCs/>
                <w:kern w:val="2"/>
                <w:sz w:val="30"/>
                <w:szCs w:val="30"/>
              </w:rPr>
            </w:pPr>
            <w:r>
              <w:rPr>
                <w:rFonts w:hint="eastAsia" w:ascii="方正仿宋_GB2312" w:hAnsi="方正仿宋_GB2312" w:eastAsia="方正仿宋_GB2312" w:cs="方正仿宋_GB2312"/>
                <w:i/>
                <w:iCs/>
                <w:kern w:val="0"/>
                <w:sz w:val="30"/>
                <w:szCs w:val="30"/>
                <w:lang w:val="en-US" w:eastAsia="zh-CN" w:bidi="ar"/>
              </w:rPr>
              <w:t>Pmax&lt;37</w:t>
            </w:r>
          </w:p>
        </w:tc>
        <w:tc>
          <w:tcPr>
            <w:tcW w:w="1255" w:type="pct"/>
            <w:gridSpan w:val="2"/>
            <w:tcBorders>
              <w:top w:val="single" w:color="474747" w:sz="8" w:space="0"/>
              <w:left w:val="nil"/>
              <w:bottom w:val="single" w:color="474747" w:sz="8" w:space="0"/>
              <w:right w:val="nil"/>
            </w:tcBorders>
            <w:shd w:val="clear" w:color="auto" w:fill="FFFFFF"/>
            <w:vAlign w:val="center"/>
          </w:tcPr>
          <w:p w14:paraId="51A27219">
            <w:pPr>
              <w:keepNext w:val="0"/>
              <w:keepLines w:val="0"/>
              <w:widowControl/>
              <w:suppressLineNumbers w:val="0"/>
              <w:spacing w:before="0" w:beforeAutospacing="0" w:after="0" w:afterAutospacing="0" w:line="576" w:lineRule="exact"/>
              <w:ind w:left="0" w:right="0" w:firstLine="600" w:firstLineChars="200"/>
              <w:jc w:val="center"/>
              <w:textAlignment w:val="center"/>
              <w:rPr>
                <w:rFonts w:hint="eastAsia" w:ascii="方正仿宋_GB2312" w:hAnsi="方正仿宋_GB2312" w:eastAsia="方正仿宋_GB2312" w:cs="方正仿宋_GB2312"/>
                <w:kern w:val="2"/>
                <w:sz w:val="30"/>
                <w:szCs w:val="30"/>
              </w:rPr>
            </w:pPr>
            <w:r>
              <w:rPr>
                <w:rFonts w:hint="eastAsia" w:ascii="方正仿宋_GB2312" w:hAnsi="方正仿宋_GB2312" w:eastAsia="方正仿宋_GB2312" w:cs="方正仿宋_GB2312"/>
                <w:kern w:val="0"/>
                <w:sz w:val="30"/>
                <w:szCs w:val="30"/>
                <w:lang w:val="en-US" w:eastAsia="zh-CN" w:bidi="ar"/>
              </w:rPr>
              <w:t>0.80</w:t>
            </w:r>
          </w:p>
        </w:tc>
        <w:tc>
          <w:tcPr>
            <w:tcW w:w="1293" w:type="pct"/>
            <w:vMerge w:val="continue"/>
            <w:tcBorders>
              <w:top w:val="nil"/>
              <w:left w:val="nil"/>
              <w:bottom w:val="single" w:color="474747" w:sz="8" w:space="0"/>
              <w:right w:val="nil"/>
            </w:tcBorders>
            <w:shd w:val="clear" w:color="auto" w:fill="FFFFFF"/>
            <w:vAlign w:val="center"/>
          </w:tcPr>
          <w:p w14:paraId="3865888B">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r>
    </w:tbl>
    <w:p w14:paraId="64BE3630">
      <w:pPr>
        <w:rPr>
          <w:rFonts w:hint="eastAsia" w:ascii="Calibri" w:hAnsi="Calibri" w:eastAsia="方正仿宋_GB2312" w:cs="Times New Roman"/>
          <w:kern w:val="2"/>
          <w:sz w:val="32"/>
          <w:szCs w:val="32"/>
        </w:rPr>
      </w:pPr>
    </w:p>
    <w:p w14:paraId="2AF33D2C">
      <w:pPr>
        <w:pStyle w:val="2"/>
        <w:rPr>
          <w:rFonts w:hint="eastAsia" w:ascii="Calibri" w:hAnsi="Calibri" w:eastAsia="方正仿宋_GB2312" w:cs="Times New Roman"/>
          <w:kern w:val="2"/>
          <w:sz w:val="32"/>
          <w:szCs w:val="32"/>
        </w:rPr>
      </w:pPr>
    </w:p>
    <w:p w14:paraId="168E5471">
      <w:pPr>
        <w:pStyle w:val="2"/>
        <w:rPr>
          <w:rFonts w:hint="eastAsia" w:ascii="Calibri" w:hAnsi="Calibri" w:eastAsia="方正仿宋_GB2312" w:cs="Times New Roman"/>
          <w:kern w:val="2"/>
          <w:sz w:val="32"/>
          <w:szCs w:val="32"/>
        </w:rPr>
      </w:pPr>
    </w:p>
    <w:p w14:paraId="19553748">
      <w:pPr>
        <w:pStyle w:val="2"/>
        <w:rPr>
          <w:rFonts w:hint="eastAsia" w:ascii="Calibri" w:hAnsi="Calibri" w:eastAsia="方正仿宋_GB2312" w:cs="Times New Roman"/>
          <w:kern w:val="2"/>
          <w:sz w:val="32"/>
          <w:szCs w:val="32"/>
        </w:rPr>
      </w:pPr>
    </w:p>
    <w:p w14:paraId="2781C2DF">
      <w:pPr>
        <w:pStyle w:val="2"/>
        <w:rPr>
          <w:rFonts w:hint="eastAsia" w:ascii="Calibri" w:hAnsi="Calibri" w:eastAsia="方正仿宋_GB2312" w:cs="Times New Roman"/>
          <w:kern w:val="2"/>
          <w:sz w:val="32"/>
          <w:szCs w:val="32"/>
        </w:rPr>
      </w:pPr>
    </w:p>
    <w:p w14:paraId="17F17063">
      <w:pPr>
        <w:pStyle w:val="2"/>
        <w:rPr>
          <w:rFonts w:hint="eastAsia" w:ascii="Calibri" w:hAnsi="Calibri" w:eastAsia="方正仿宋_GB2312" w:cs="Times New Roman"/>
          <w:kern w:val="2"/>
          <w:sz w:val="32"/>
          <w:szCs w:val="32"/>
        </w:rPr>
      </w:pPr>
    </w:p>
    <w:p w14:paraId="5AE1DCFE">
      <w:pPr>
        <w:pStyle w:val="2"/>
        <w:rPr>
          <w:rFonts w:hint="eastAsia" w:ascii="Calibri" w:hAnsi="Calibri" w:eastAsia="方正仿宋_GB2312" w:cs="Times New Roman"/>
          <w:kern w:val="2"/>
          <w:sz w:val="32"/>
          <w:szCs w:val="32"/>
        </w:rPr>
      </w:pPr>
    </w:p>
    <w:p w14:paraId="4EBAAA50">
      <w:pPr>
        <w:pStyle w:val="2"/>
        <w:rPr>
          <w:rFonts w:hint="eastAsia" w:ascii="Calibri" w:hAnsi="Calibri" w:eastAsia="方正仿宋_GB2312" w:cs="Times New Roman"/>
          <w:kern w:val="2"/>
          <w:sz w:val="32"/>
          <w:szCs w:val="32"/>
        </w:rPr>
      </w:pPr>
    </w:p>
    <w:p w14:paraId="7889C038">
      <w:pPr>
        <w:pStyle w:val="2"/>
        <w:rPr>
          <w:rFonts w:hint="eastAsia"/>
          <w:lang w:val="en-US" w:eastAsia="zh-CN"/>
        </w:rPr>
      </w:pPr>
      <w:bookmarkStart w:id="0" w:name="_GoBack"/>
      <w:bookmarkEnd w:id="0"/>
    </w:p>
    <w:sectPr>
      <w:pgSz w:w="11906" w:h="16838"/>
      <w:pgMar w:top="2041" w:right="1587" w:bottom="1587" w:left="1587"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roman"/>
    <w:pitch w:val="default"/>
    <w:sig w:usb0="E0002AEF" w:usb1="C0007841" w:usb2="00000009" w:usb3="00000000" w:csb0="400001FF" w:csb1="FFFF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楷体">
    <w:altName w:val="汉仪楷体KW"/>
    <w:panose1 w:val="02010609060101010101"/>
    <w:charset w:val="86"/>
    <w:family w:val="auto"/>
    <w:pitch w:val="default"/>
    <w:sig w:usb0="00000000" w:usb1="00000000" w:usb2="00000016" w:usb3="00000000" w:csb0="00040001" w:csb1="00000000"/>
  </w:font>
  <w:font w:name="Arial Unicode MS">
    <w:panose1 w:val="020B0604020202020204"/>
    <w:charset w:val="86"/>
    <w:family w:val="auto"/>
    <w:pitch w:val="default"/>
    <w:sig w:usb0="FFFFFFFF" w:usb1="E9FFFFFF" w:usb2="0000003F" w:usb3="00000000" w:csb0="603F01FF" w:csb1="FFFF0000"/>
  </w:font>
  <w:font w:name="仿宋_GB2312">
    <w:altName w:val="方正仿宋_GBK"/>
    <w:panose1 w:val="02010609030101010101"/>
    <w:charset w:val="86"/>
    <w:family w:val="auto"/>
    <w:pitch w:val="default"/>
    <w:sig w:usb0="00000000" w:usb1="0000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楷体-GB2312">
    <w:altName w:val="汉仪楷体简"/>
    <w:panose1 w:val="00000000000000000000"/>
    <w:charset w:val="00"/>
    <w:family w:val="auto"/>
    <w:pitch w:val="default"/>
    <w:sig w:usb0="00000000" w:usb1="00000000" w:usb2="00000000" w:usb3="00000000" w:csb0="00000000" w:csb1="00000000"/>
  </w:font>
  <w:font w:name="方正小标宋简体">
    <w:panose1 w:val="02000000000000000000"/>
    <w:charset w:val="86"/>
    <w:family w:val="auto"/>
    <w:pitch w:val="default"/>
    <w:sig w:usb0="00000001" w:usb1="08000000" w:usb2="00000000" w:usb3="00000000" w:csb0="00040000" w:csb1="00000000"/>
  </w:font>
  <w:font w:name="方正小标宋_GBK">
    <w:panose1 w:val="02000000000000000000"/>
    <w:charset w:val="86"/>
    <w:family w:val="auto"/>
    <w:pitch w:val="default"/>
    <w:sig w:usb0="A00002BF" w:usb1="38CF7CFA" w:usb2="00082016" w:usb3="00000000" w:csb0="00040001" w:csb1="00000000"/>
  </w:font>
  <w:font w:name="方正仿宋_GB2312">
    <w:panose1 w:val="02000000000000000000"/>
    <w:charset w:val="86"/>
    <w:family w:val="auto"/>
    <w:pitch w:val="default"/>
    <w:sig w:usb0="A00002BF" w:usb1="184F6CFA" w:usb2="00000012" w:usb3="00000000" w:csb0="00040001"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方正仿宋_GBK">
    <w:panose1 w:val="02000000000000000000"/>
    <w:charset w:val="86"/>
    <w:family w:val="auto"/>
    <w:pitch w:val="default"/>
    <w:sig w:usb0="A00002BF" w:usb1="38CF7CFA" w:usb2="00082016" w:usb3="00000000" w:csb0="00040001" w:csb1="00000000"/>
  </w:font>
  <w:font w:name="汉仪楷体简">
    <w:panose1 w:val="02010600000101010101"/>
    <w:charset w:val="86"/>
    <w:family w:val="auto"/>
    <w:pitch w:val="default"/>
    <w:sig w:usb0="00000001" w:usb1="080E0800" w:usb2="00000002" w:usb3="00000000" w:csb0="00040000" w:csb1="00000000"/>
  </w:font>
  <w:font w:name="汉仪中黑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Kingsoft Sign">
    <w:panose1 w:val="05050102010706020507"/>
    <w:charset w:val="00"/>
    <w:family w:val="auto"/>
    <w:pitch w:val="default"/>
    <w:sig w:usb0="00000000" w:usb1="10000000" w:usb2="00000000" w:usb3="00000000" w:csb0="00000001" w:csb1="00000000"/>
  </w:font>
  <w:font w:name="汉仪楷体KW">
    <w:panose1 w:val="00020600040101010101"/>
    <w:charset w:val="86"/>
    <w:family w:val="auto"/>
    <w:pitch w:val="default"/>
    <w:sig w:usb0="A00002BF" w:usb1="18EF7CFA" w:usb2="00000016" w:usb3="00000000" w:csb0="00040000" w:csb1="00000000"/>
  </w:font>
  <w:font w:name="Arial Hebrew Scholar Regular">
    <w:panose1 w:val="00000000000000000000"/>
    <w:charset w:val="00"/>
    <w:family w:val="auto"/>
    <w:pitch w:val="default"/>
    <w:sig w:usb0="80000843" w:usb1="40000002" w:usb2="00000000" w:usb3="00000000" w:csb0="00000001" w:csb1="00000000"/>
  </w:font>
  <w:font w:name="楷体">
    <w:altName w:val="汉仪楷体KW"/>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39EF01">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7D3F54">
                          <w:pPr>
                            <w:pStyle w:val="5"/>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lang w:val="en-US"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7D7D3F54">
                    <w:pPr>
                      <w:pStyle w:val="5"/>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lang w:val="en-US" w:eastAsia="zh-CN"/>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BB83550"/>
    <w:multiLevelType w:val="multilevel"/>
    <w:tmpl w:val="BBB83550"/>
    <w:lvl w:ilvl="0" w:tentative="0">
      <w:start w:val="1"/>
      <w:numFmt w:val="chineseCounting"/>
      <w:suff w:val="nothing"/>
      <w:lvlText w:val="（%1）"/>
      <w:lvlJc w:val="left"/>
      <w:pPr>
        <w:ind w:left="0" w:firstLine="420"/>
      </w:pPr>
    </w:lvl>
    <w:lvl w:ilvl="1" w:tentative="0">
      <w:start w:val="1"/>
      <w:numFmt w:val="decimal"/>
      <w:suff w:val="nothing"/>
      <w:lvlText w:val="%2．"/>
      <w:lvlJc w:val="left"/>
      <w:pPr>
        <w:ind w:left="0" w:firstLine="420"/>
      </w:pPr>
      <w:rPr>
        <w:rFonts w:hint="eastAsia" w:ascii="宋体" w:hAnsi="宋体" w:eastAsia="宋体" w:cs="宋体"/>
      </w:rPr>
    </w:lvl>
    <w:lvl w:ilvl="2" w:tentative="0">
      <w:start w:val="1"/>
      <w:numFmt w:val="decimal"/>
      <w:suff w:val="nothing"/>
      <w:lvlText w:val="（%3）"/>
      <w:lvlJc w:val="left"/>
      <w:pPr>
        <w:ind w:left="0" w:firstLine="420"/>
      </w:pPr>
      <w:rPr>
        <w:rFonts w:hint="eastAsia" w:ascii="宋体" w:hAnsi="宋体" w:eastAsia="宋体" w:cs="宋体"/>
      </w:rPr>
    </w:lvl>
    <w:lvl w:ilvl="3" w:tentative="0">
      <w:start w:val="1"/>
      <w:numFmt w:val="decimalEnclosedCircleChinese"/>
      <w:suff w:val="nothing"/>
      <w:lvlText w:val="%4"/>
      <w:lvlJc w:val="left"/>
      <w:pPr>
        <w:ind w:left="0" w:firstLine="420"/>
      </w:pPr>
      <w:rPr>
        <w:rFonts w:hint="eastAsia" w:ascii="宋体" w:hAnsi="宋体" w:eastAsia="宋体" w:cs="宋体"/>
      </w:rPr>
    </w:lvl>
    <w:lvl w:ilvl="4" w:tentative="0">
      <w:start w:val="1"/>
      <w:numFmt w:val="decimal"/>
      <w:suff w:val="nothing"/>
      <w:lvlText w:val="%5）"/>
      <w:lvlJc w:val="left"/>
      <w:pPr>
        <w:ind w:left="0" w:firstLine="420"/>
      </w:pPr>
      <w:rPr>
        <w:rFonts w:hint="eastAsia" w:ascii="宋体" w:hAnsi="宋体" w:eastAsia="宋体" w:cs="宋体"/>
      </w:rPr>
    </w:lvl>
    <w:lvl w:ilvl="5" w:tentative="0">
      <w:start w:val="1"/>
      <w:numFmt w:val="lowerLetter"/>
      <w:suff w:val="nothing"/>
      <w:lvlText w:val="%6．"/>
      <w:lvlJc w:val="left"/>
      <w:pPr>
        <w:ind w:left="0" w:firstLine="420"/>
      </w:pPr>
      <w:rPr>
        <w:rFonts w:hint="eastAsia" w:ascii="宋体" w:hAnsi="宋体" w:eastAsia="宋体" w:cs="宋体"/>
      </w:rPr>
    </w:lvl>
    <w:lvl w:ilvl="6" w:tentative="0">
      <w:start w:val="1"/>
      <w:numFmt w:val="lowerLetter"/>
      <w:suff w:val="nothing"/>
      <w:lvlText w:val="%7）"/>
      <w:lvlJc w:val="left"/>
      <w:pPr>
        <w:ind w:left="0" w:firstLine="420"/>
      </w:pPr>
      <w:rPr>
        <w:rFonts w:hint="eastAsia" w:ascii="宋体" w:hAnsi="宋体" w:eastAsia="宋体" w:cs="宋体"/>
      </w:rPr>
    </w:lvl>
    <w:lvl w:ilvl="7" w:tentative="0">
      <w:start w:val="1"/>
      <w:numFmt w:val="lowerRoman"/>
      <w:suff w:val="nothing"/>
      <w:lvlText w:val="%8．"/>
      <w:lvlJc w:val="left"/>
      <w:pPr>
        <w:ind w:left="0" w:firstLine="420"/>
      </w:pPr>
      <w:rPr>
        <w:rFonts w:hint="eastAsia" w:ascii="宋体" w:hAnsi="宋体" w:eastAsia="宋体" w:cs="宋体"/>
      </w:rPr>
    </w:lvl>
    <w:lvl w:ilvl="8" w:tentative="0">
      <w:start w:val="1"/>
      <w:numFmt w:val="lowerRoman"/>
      <w:suff w:val="nothing"/>
      <w:lvlText w:val="%9）"/>
      <w:lvlJc w:val="left"/>
      <w:pPr>
        <w:ind w:left="0" w:firstLine="420"/>
      </w:pPr>
      <w:rPr>
        <w:rFonts w:hint="eastAsia" w:ascii="宋体" w:hAnsi="宋体" w:eastAsia="宋体" w:cs="宋体"/>
      </w:rPr>
    </w:lvl>
  </w:abstractNum>
  <w:abstractNum w:abstractNumId="1">
    <w:nsid w:val="BFF4B7A3"/>
    <w:multiLevelType w:val="multilevel"/>
    <w:tmpl w:val="BFF4B7A3"/>
    <w:lvl w:ilvl="0" w:tentative="0">
      <w:start w:val="1"/>
      <w:numFmt w:val="chineseCounting"/>
      <w:suff w:val="nothing"/>
      <w:lvlText w:val="%1、"/>
      <w:lvlJc w:val="left"/>
      <w:pPr>
        <w:ind w:left="0" w:firstLine="420"/>
      </w:pPr>
      <w:rPr>
        <w:rFonts w:hint="default" w:ascii="黑体" w:hAnsi="宋体" w:eastAsia="黑体" w:cs="黑体"/>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2">
    <w:nsid w:val="FF5F1C00"/>
    <w:multiLevelType w:val="multilevel"/>
    <w:tmpl w:val="FF5F1C00"/>
    <w:lvl w:ilvl="0" w:tentative="0">
      <w:start w:val="1"/>
      <w:numFmt w:val="chineseCounting"/>
      <w:suff w:val="nothing"/>
      <w:lvlText w:val="（%1）"/>
      <w:lvlJc w:val="left"/>
      <w:pPr>
        <w:ind w:left="0" w:firstLine="42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3">
    <w:nsid w:val="07FA3375"/>
    <w:multiLevelType w:val="multilevel"/>
    <w:tmpl w:val="07FA3375"/>
    <w:lvl w:ilvl="0" w:tentative="0">
      <w:start w:val="1"/>
      <w:numFmt w:val="chineseCounting"/>
      <w:suff w:val="nothing"/>
      <w:lvlText w:val="（%1）"/>
      <w:lvlJc w:val="left"/>
      <w:pPr>
        <w:ind w:left="0" w:firstLine="420"/>
      </w:pPr>
      <w:rPr>
        <w:b/>
        <w:bCs/>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embedSystemFonts/>
  <w:bordersDoNotSurroundHeader w:val="0"/>
  <w:bordersDoNotSurroundFooter w:val="0"/>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1"/>
    </o:shapelayout>
  </w:hdrShapeDefaults>
  <w:compat>
    <w:spaceForUL/>
    <w:balanceSingleByteDoubleByteWidth/>
    <w:ulTrailSpace/>
    <w:doNotExpandShiftReturn/>
    <w:adjustLineHeightInTable/>
    <w:doNotWrapTextWithPunct/>
    <w:doNotUseEastAsianBreakRules/>
    <w:useFELayout/>
    <w:doNotUseIndentAsNumberingTabStop/>
    <w:useAltKinsokuLineBreakRules/>
    <w:splitPgBreakAndParaMark/>
    <w:compatSetting w:name="compatibilityMode" w:uri="http://schemas.microsoft.com/office/word" w:val="14"/>
  </w:compat>
  <w:rsids>
    <w:rsidRoot w:val="00172A27"/>
    <w:rsid w:val="0DB8731C"/>
    <w:rsid w:val="0E73484A"/>
    <w:rsid w:val="10F25A13"/>
    <w:rsid w:val="11B979D0"/>
    <w:rsid w:val="19E97186"/>
    <w:rsid w:val="22D71F04"/>
    <w:rsid w:val="249A28DA"/>
    <w:rsid w:val="27220F37"/>
    <w:rsid w:val="2A552EB6"/>
    <w:rsid w:val="2FAD34A6"/>
    <w:rsid w:val="30E21247"/>
    <w:rsid w:val="330D77F1"/>
    <w:rsid w:val="36D07B18"/>
    <w:rsid w:val="3B9D07F0"/>
    <w:rsid w:val="3BF73E9A"/>
    <w:rsid w:val="3C042475"/>
    <w:rsid w:val="3DE07D2F"/>
    <w:rsid w:val="3FFD808F"/>
    <w:rsid w:val="426E4D2C"/>
    <w:rsid w:val="42937713"/>
    <w:rsid w:val="46893829"/>
    <w:rsid w:val="4AA77575"/>
    <w:rsid w:val="4DCC74B4"/>
    <w:rsid w:val="51B95F94"/>
    <w:rsid w:val="53CE2537"/>
    <w:rsid w:val="58951E7B"/>
    <w:rsid w:val="5C700A16"/>
    <w:rsid w:val="5CF33FC9"/>
    <w:rsid w:val="5D9F2CDB"/>
    <w:rsid w:val="5DE46E04"/>
    <w:rsid w:val="65F95455"/>
    <w:rsid w:val="6F9FD8CB"/>
    <w:rsid w:val="772F1ABD"/>
    <w:rsid w:val="7964488C"/>
    <w:rsid w:val="7BD6F809"/>
    <w:rsid w:val="7CEF4FF3"/>
    <w:rsid w:val="7D34776D"/>
    <w:rsid w:val="7E6F63BD"/>
    <w:rsid w:val="7EB45448"/>
    <w:rsid w:val="7F7FC856"/>
    <w:rsid w:val="AFC79596"/>
    <w:rsid w:val="BFDFD088"/>
    <w:rsid w:val="DA79BD19"/>
    <w:rsid w:val="DFFF9941"/>
    <w:rsid w:val="E0FE6F3E"/>
    <w:rsid w:val="EC7FC94D"/>
    <w:rsid w:val="F1FF1E0C"/>
    <w:rsid w:val="FFDD1B68"/>
    <w:rsid w:val="FFF7C174"/>
    <w:rsid w:val="FFF933C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Arial"/>
      <w:kern w:val="2"/>
      <w:sz w:val="21"/>
      <w:szCs w:val="24"/>
      <w:lang w:val="en-US" w:eastAsia="zh-CN" w:bidi="ar-SA"/>
    </w:rPr>
  </w:style>
  <w:style w:type="paragraph" w:styleId="3">
    <w:name w:val="heading 1"/>
    <w:basedOn w:val="1"/>
    <w:next w:val="1"/>
    <w:qFormat/>
    <w:uiPriority w:val="0"/>
    <w:pPr>
      <w:keepNext/>
      <w:keepLines/>
      <w:widowControl w:val="0"/>
      <w:suppressLineNumbers w:val="0"/>
      <w:spacing w:before="0" w:beforeLines="0" w:beforeAutospacing="0" w:after="0" w:afterLines="0" w:afterAutospacing="0" w:line="576" w:lineRule="exact"/>
      <w:ind w:left="0" w:firstLine="1704" w:firstLineChars="200"/>
      <w:jc w:val="left"/>
      <w:outlineLvl w:val="0"/>
    </w:pPr>
    <w:rPr>
      <w:rFonts w:hint="default" w:ascii="Calibri" w:hAnsi="Calibri" w:eastAsia="黑体" w:cs="Times New Roman"/>
      <w:b/>
      <w:bCs/>
      <w:kern w:val="44"/>
      <w:sz w:val="32"/>
      <w:szCs w:val="32"/>
      <w:lang w:val="en-US" w:eastAsia="zh-CN" w:bidi="ar"/>
    </w:rPr>
  </w:style>
  <w:style w:type="paragraph" w:styleId="4">
    <w:name w:val="heading 2"/>
    <w:basedOn w:val="1"/>
    <w:next w:val="1"/>
    <w:unhideWhenUsed/>
    <w:qFormat/>
    <w:uiPriority w:val="0"/>
    <w:pPr>
      <w:keepNext/>
      <w:keepLines/>
      <w:widowControl w:val="0"/>
      <w:suppressLineNumbers w:val="0"/>
      <w:spacing w:before="0" w:beforeLines="0" w:beforeAutospacing="0" w:after="0" w:afterLines="0" w:afterAutospacing="0" w:line="576" w:lineRule="exact"/>
      <w:ind w:left="0" w:firstLine="420" w:firstLineChars="200"/>
      <w:jc w:val="left"/>
      <w:outlineLvl w:val="1"/>
    </w:pPr>
    <w:rPr>
      <w:rFonts w:hint="default" w:ascii="Arial" w:hAnsi="Arial" w:eastAsia="楷体" w:cs="Times New Roman"/>
      <w:b/>
      <w:bCs/>
      <w:kern w:val="2"/>
      <w:sz w:val="32"/>
      <w:szCs w:val="32"/>
      <w:lang w:val="en-US" w:eastAsia="zh-CN" w:bidi="ar"/>
    </w:rPr>
  </w:style>
  <w:style w:type="character" w:default="1" w:styleId="10">
    <w:name w:val="Default Paragraph Font"/>
    <w:qFormat/>
    <w:uiPriority w:val="0"/>
  </w:style>
  <w:style w:type="table" w:default="1" w:styleId="8">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qFormat/>
    <w:uiPriority w:val="0"/>
    <w:rPr>
      <w:rFonts w:ascii="Times New Roman" w:hAnsi="Times New Roman"/>
      <w:sz w:val="28"/>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0"/>
        <w:left w:val="none" w:color="auto" w:sz="0" w:space="0"/>
        <w:bottom w:val="none" w:color="auto" w:sz="0" w:space="0"/>
        <w:right w:val="none" w:color="auto" w:sz="0" w:space="0"/>
      </w:pBdr>
      <w:tabs>
        <w:tab w:val="center" w:pos="4153"/>
        <w:tab w:val="right" w:pos="8306"/>
      </w:tabs>
      <w:snapToGrid w:val="0"/>
      <w:spacing w:line="240" w:lineRule="auto"/>
      <w:jc w:val="both"/>
      <w:outlineLvl w:val="9"/>
    </w:pPr>
    <w:rPr>
      <w:sz w:val="18"/>
    </w:rPr>
  </w:style>
  <w:style w:type="paragraph" w:styleId="7">
    <w:name w:val="Normal (Web)"/>
    <w:basedOn w:val="1"/>
    <w:qFormat/>
    <w:uiPriority w:val="0"/>
    <w:pPr>
      <w:widowControl/>
      <w:spacing w:before="0" w:beforeAutospacing="1" w:after="0" w:afterAutospacing="1" w:line="240" w:lineRule="auto"/>
      <w:ind w:left="0" w:right="0" w:firstLine="0" w:firstLineChars="0"/>
      <w:jc w:val="left"/>
    </w:pPr>
    <w:rPr>
      <w:rFonts w:ascii="宋体" w:hAnsi="宋体" w:eastAsia="宋体" w:cs="宋体"/>
      <w:kern w:val="0"/>
      <w:sz w:val="24"/>
      <w:szCs w:val="24"/>
      <w:lang w:val="en-US" w:eastAsia="zh-CN" w:bidi="ar"/>
    </w:rPr>
  </w:style>
  <w:style w:type="table" w:styleId="9">
    <w:name w:val="Table Gri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1">
    <w:name w:val="大标题"/>
    <w:basedOn w:val="1"/>
    <w:qFormat/>
    <w:uiPriority w:val="0"/>
    <w:pPr>
      <w:keepNext w:val="0"/>
      <w:keepLines w:val="0"/>
      <w:widowControl w:val="0"/>
      <w:suppressLineNumbers w:val="0"/>
      <w:spacing w:before="0" w:beforeAutospacing="0" w:after="0" w:afterAutospacing="0" w:line="500" w:lineRule="exact"/>
      <w:ind w:left="0" w:right="0" w:firstLine="876" w:firstLineChars="200"/>
      <w:jc w:val="center"/>
    </w:pPr>
    <w:rPr>
      <w:rFonts w:hint="eastAsia" w:ascii="Arial Unicode MS" w:hAnsi="Arial Unicode MS" w:eastAsia="Arial Unicode MS" w:cs="Arial Unicode MS"/>
      <w:color w:val="000000"/>
      <w:kern w:val="2"/>
      <w:sz w:val="44"/>
      <w:szCs w:val="44"/>
      <w:lang w:val="en-US" w:eastAsia="zh-CN" w:bidi="ar"/>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Normal.eit</Template>
  <Pages>6</Pages>
  <Words>411</Words>
  <Characters>435</Characters>
  <Lines>1</Lines>
  <Paragraphs>1</Paragraphs>
  <TotalTime>1</TotalTime>
  <ScaleCrop>false</ScaleCrop>
  <LinksUpToDate>false</LinksUpToDate>
  <CharactersWithSpaces>516</CharactersWithSpaces>
  <Application>WPS Office_7.2.2.8955_F1E327BC-269C-435d-A152-05C5408002CA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2020-12-09T02:24:00Z</dcterms:created>
  <dc:creator>雨下</dc:creator>
  <cp:lastModifiedBy>突然有了希望</cp:lastModifiedBy>
  <cp:lastPrinted>2025-10-15T06:56:00Z</cp:lastPrinted>
  <dcterms:modified xsi:type="dcterms:W3CDTF">2025-10-22T16:53:14Z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2052-7.2.2.8955</vt:lpwstr>
  </property>
  <property fmtid="{D5CDD505-2E9C-101B-9397-08002B2CF9AE}" pid="3" name="ICV">
    <vt:lpwstr>393081364C0AC4607A9BF86841673026_43</vt:lpwstr>
  </property>
  <property fmtid="{D5CDD505-2E9C-101B-9397-08002B2CF9AE}" pid="4" name="KSOTemplateDocerSaveRecord">
    <vt:lpwstr>eyJoZGlkIjoiYWYzNmVlN2U4YmY0N2E1Yjk5ZWQyYTI0MGMxNmNjMzkiLCJ1c2VySWQiOiIzNzk0NTA1NzMifQ==</vt:lpwstr>
  </property>
</Properties>
</file>